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41E2" w14:textId="03DA2166" w:rsidR="00F23B77" w:rsidRPr="00E82A30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lang w:val="el-GR"/>
        </w:rPr>
        <w:t xml:space="preserve"> </w:t>
      </w:r>
      <w:r w:rsidRPr="00E82A30">
        <w:rPr>
          <w:rFonts w:asciiTheme="minorHAnsi" w:hAnsiTheme="minorHAnsi" w:cstheme="minorHAnsi"/>
          <w:lang w:val="el-GR"/>
        </w:rPr>
        <w:t>Προς</w:t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  <w:t>Αθήνα,</w:t>
      </w:r>
      <w:r w:rsidR="007217EA" w:rsidRPr="00E82A30">
        <w:rPr>
          <w:rFonts w:asciiTheme="minorHAnsi" w:hAnsiTheme="minorHAnsi" w:cstheme="minorHAnsi"/>
          <w:lang w:val="el-GR"/>
        </w:rPr>
        <w:t xml:space="preserve"> 6/10/2021</w:t>
      </w:r>
    </w:p>
    <w:p w14:paraId="691D8437" w14:textId="36C391F7" w:rsidR="005160D7" w:rsidRPr="004B7D8D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 xml:space="preserve">Υπουργό Υγείας κ. </w:t>
      </w:r>
      <w:r w:rsidRPr="00E82A30">
        <w:rPr>
          <w:rFonts w:asciiTheme="minorHAnsi" w:hAnsiTheme="minorHAnsi" w:cstheme="minorHAnsi"/>
          <w:b/>
          <w:bCs/>
          <w:lang w:val="el-GR"/>
        </w:rPr>
        <w:t>Α. Πλεύρη</w:t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  <w:t xml:space="preserve">Αρ. Πρωτ.: </w:t>
      </w:r>
      <w:r w:rsidR="00867293" w:rsidRPr="00867293">
        <w:rPr>
          <w:rFonts w:asciiTheme="minorHAnsi" w:hAnsiTheme="minorHAnsi" w:cstheme="minorHAnsi"/>
          <w:lang w:val="el-GR"/>
        </w:rPr>
        <w:t>1</w:t>
      </w:r>
      <w:r w:rsidR="00867293" w:rsidRPr="004B7D8D">
        <w:rPr>
          <w:rFonts w:asciiTheme="minorHAnsi" w:hAnsiTheme="minorHAnsi" w:cstheme="minorHAnsi"/>
          <w:lang w:val="el-GR"/>
        </w:rPr>
        <w:t>0704</w:t>
      </w:r>
    </w:p>
    <w:p w14:paraId="00A26E21" w14:textId="7129E134" w:rsidR="005160D7" w:rsidRPr="00E82A30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>Αναπλ. Υπουργό Υγεία</w:t>
      </w:r>
      <w:r w:rsidR="00867293">
        <w:rPr>
          <w:rFonts w:asciiTheme="minorHAnsi" w:hAnsiTheme="minorHAnsi" w:cstheme="minorHAnsi"/>
          <w:lang w:val="el-GR"/>
        </w:rPr>
        <w:t>ς</w:t>
      </w:r>
      <w:r w:rsidRPr="00E82A30">
        <w:rPr>
          <w:rFonts w:asciiTheme="minorHAnsi" w:hAnsiTheme="minorHAnsi" w:cstheme="minorHAnsi"/>
          <w:lang w:val="el-GR"/>
        </w:rPr>
        <w:t xml:space="preserve"> κ. </w:t>
      </w:r>
      <w:r w:rsidRPr="00E82A30">
        <w:rPr>
          <w:rFonts w:asciiTheme="minorHAnsi" w:hAnsiTheme="minorHAnsi" w:cstheme="minorHAnsi"/>
          <w:b/>
          <w:bCs/>
          <w:lang w:val="el-GR"/>
        </w:rPr>
        <w:t>Α. Γκάγκα</w:t>
      </w:r>
    </w:p>
    <w:p w14:paraId="3FA5A9A9" w14:textId="516A9E5F" w:rsidR="005160D7" w:rsidRPr="00E82A30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</w:p>
    <w:p w14:paraId="024A8486" w14:textId="402C80FB" w:rsidR="005160D7" w:rsidRPr="00E82A30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>Κοινοπ.:</w:t>
      </w:r>
      <w:r w:rsidR="009C730A" w:rsidRPr="00E82A30">
        <w:rPr>
          <w:rFonts w:asciiTheme="minorHAnsi" w:hAnsiTheme="minorHAnsi" w:cstheme="minorHAnsi"/>
          <w:lang w:val="el-GR"/>
        </w:rPr>
        <w:tab/>
        <w:t xml:space="preserve">Διοικήτρια </w:t>
      </w:r>
      <w:r w:rsidRPr="00E82A30">
        <w:rPr>
          <w:rFonts w:asciiTheme="minorHAnsi" w:hAnsiTheme="minorHAnsi" w:cstheme="minorHAnsi"/>
          <w:lang w:val="el-GR"/>
        </w:rPr>
        <w:t xml:space="preserve"> ΕΟΠΥΥ</w:t>
      </w:r>
      <w:r w:rsidR="009C730A" w:rsidRPr="00E82A30">
        <w:rPr>
          <w:rFonts w:asciiTheme="minorHAnsi" w:hAnsiTheme="minorHAnsi" w:cstheme="minorHAnsi"/>
          <w:lang w:val="el-GR"/>
        </w:rPr>
        <w:t xml:space="preserve">, κ. </w:t>
      </w:r>
      <w:r w:rsidR="009C730A" w:rsidRPr="00E82A30">
        <w:rPr>
          <w:rFonts w:asciiTheme="minorHAnsi" w:hAnsiTheme="minorHAnsi" w:cstheme="minorHAnsi"/>
          <w:b/>
          <w:bCs/>
          <w:lang w:val="el-GR"/>
        </w:rPr>
        <w:t>Θ. Καρποδίνη</w:t>
      </w:r>
    </w:p>
    <w:p w14:paraId="784A269A" w14:textId="3ECD7483" w:rsidR="00F23B77" w:rsidRPr="00E82A30" w:rsidRDefault="009C730A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  <w:t>Ιατρικοί Σύλλογοι</w:t>
      </w:r>
    </w:p>
    <w:p w14:paraId="6AFBA74B" w14:textId="265CFBDA" w:rsidR="009C730A" w:rsidRPr="00E82A30" w:rsidRDefault="009C730A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  <w:t>Μέλη της Γ.Σ. του Π.Ι.Σ.</w:t>
      </w:r>
    </w:p>
    <w:p w14:paraId="58369D41" w14:textId="6D1BFEBB" w:rsidR="009C730A" w:rsidRPr="00E82A30" w:rsidRDefault="009C730A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ab/>
      </w:r>
      <w:r w:rsidRPr="00E82A30">
        <w:rPr>
          <w:rFonts w:asciiTheme="minorHAnsi" w:hAnsiTheme="minorHAnsi" w:cstheme="minorHAnsi"/>
          <w:lang w:val="el-GR"/>
        </w:rPr>
        <w:tab/>
        <w:t>Ιατρικές Επιστημονικές Εταιρείες/Ιατρικές Επαγγελματικές Ενώσεις</w:t>
      </w:r>
    </w:p>
    <w:p w14:paraId="66082CD0" w14:textId="62AC2285" w:rsidR="009C730A" w:rsidRPr="00E82A30" w:rsidRDefault="009C730A" w:rsidP="009C730A">
      <w:pPr>
        <w:spacing w:after="120"/>
        <w:rPr>
          <w:rFonts w:asciiTheme="minorHAnsi" w:hAnsiTheme="minorHAnsi" w:cstheme="minorHAnsi"/>
          <w:lang w:val="el-GR"/>
        </w:rPr>
      </w:pPr>
    </w:p>
    <w:p w14:paraId="00B524EF" w14:textId="4056856B" w:rsidR="009C730A" w:rsidRPr="00E82A30" w:rsidRDefault="009C730A" w:rsidP="009C730A">
      <w:pPr>
        <w:spacing w:after="120"/>
        <w:rPr>
          <w:rFonts w:asciiTheme="minorHAnsi" w:hAnsiTheme="minorHAnsi" w:cstheme="minorHAnsi"/>
          <w:lang w:val="el-GR"/>
        </w:rPr>
      </w:pPr>
    </w:p>
    <w:p w14:paraId="5AB576CB" w14:textId="77777777" w:rsidR="00AB67ED" w:rsidRPr="00E82A30" w:rsidRDefault="009C730A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>Αξιότιμ</w:t>
      </w:r>
      <w:r w:rsidR="00AB67ED" w:rsidRPr="00E82A30">
        <w:rPr>
          <w:rFonts w:asciiTheme="minorHAnsi" w:hAnsiTheme="minorHAnsi" w:cstheme="minorHAnsi"/>
          <w:lang w:val="el-GR"/>
        </w:rPr>
        <w:t xml:space="preserve">ε κύριε Υπουργέ, </w:t>
      </w:r>
    </w:p>
    <w:p w14:paraId="5249343C" w14:textId="7096ADC9" w:rsidR="009C730A" w:rsidRPr="00E82A30" w:rsidRDefault="00AB67ED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 xml:space="preserve">Αξιότιμη κυρία Υπουργέ, </w:t>
      </w:r>
    </w:p>
    <w:p w14:paraId="162442AF" w14:textId="77777777" w:rsidR="00AB67ED" w:rsidRPr="00E82A30" w:rsidRDefault="00AB67ED" w:rsidP="009C730A">
      <w:pPr>
        <w:spacing w:after="120"/>
        <w:rPr>
          <w:rFonts w:asciiTheme="minorHAnsi" w:hAnsiTheme="minorHAnsi" w:cstheme="minorHAnsi"/>
          <w:lang w:val="el-GR"/>
        </w:rPr>
      </w:pPr>
    </w:p>
    <w:p w14:paraId="15127E05" w14:textId="5F95EFFA" w:rsidR="005160D7" w:rsidRPr="00E82A30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</w:rPr>
        <w:t>To</w:t>
      </w:r>
      <w:r w:rsidRPr="00E82A30">
        <w:rPr>
          <w:rFonts w:asciiTheme="minorHAnsi" w:hAnsiTheme="minorHAnsi" w:cstheme="minorHAnsi"/>
          <w:lang w:val="el-GR"/>
        </w:rPr>
        <w:t xml:space="preserve"> </w:t>
      </w:r>
      <w:r w:rsidR="00DC6D31" w:rsidRPr="00E82A30">
        <w:rPr>
          <w:rFonts w:asciiTheme="minorHAnsi" w:hAnsiTheme="minorHAnsi" w:cstheme="minorHAnsi"/>
        </w:rPr>
        <w:t>clawback</w:t>
      </w:r>
      <w:r w:rsidR="00DC6D31" w:rsidRPr="00E82A30">
        <w:rPr>
          <w:rFonts w:asciiTheme="minorHAnsi" w:hAnsiTheme="minorHAnsi" w:cstheme="minorHAnsi"/>
          <w:lang w:val="el-GR"/>
        </w:rPr>
        <w:t>, όπως</w:t>
      </w:r>
      <w:r w:rsidRPr="00E82A30">
        <w:rPr>
          <w:rFonts w:asciiTheme="minorHAnsi" w:hAnsiTheme="minorHAnsi" w:cstheme="minorHAnsi"/>
          <w:lang w:val="el-GR"/>
        </w:rPr>
        <w:t xml:space="preserve"> γνωρίζετε</w:t>
      </w:r>
      <w:r w:rsidR="009C730A" w:rsidRPr="00E82A30">
        <w:rPr>
          <w:rFonts w:asciiTheme="minorHAnsi" w:hAnsiTheme="minorHAnsi" w:cstheme="minorHAnsi"/>
          <w:lang w:val="el-GR"/>
        </w:rPr>
        <w:t>, ως</w:t>
      </w:r>
      <w:r w:rsidRPr="00E82A30">
        <w:rPr>
          <w:rFonts w:asciiTheme="minorHAnsi" w:hAnsiTheme="minorHAnsi" w:cstheme="minorHAnsi"/>
          <w:lang w:val="el-GR"/>
        </w:rPr>
        <w:t xml:space="preserve"> μείζον πρόβλημα για την άσκηση</w:t>
      </w:r>
      <w:r w:rsidR="009C730A" w:rsidRPr="00E82A30">
        <w:rPr>
          <w:rFonts w:asciiTheme="minorHAnsi" w:hAnsiTheme="minorHAnsi" w:cstheme="minorHAnsi"/>
          <w:lang w:val="el-GR"/>
        </w:rPr>
        <w:t xml:space="preserve"> </w:t>
      </w:r>
      <w:r w:rsidRPr="00E82A30">
        <w:rPr>
          <w:rFonts w:asciiTheme="minorHAnsi" w:hAnsiTheme="minorHAnsi" w:cstheme="minorHAnsi"/>
          <w:lang w:val="el-GR"/>
        </w:rPr>
        <w:t>της εργαστηριακής ιατρικής</w:t>
      </w:r>
      <w:r w:rsidR="009C730A" w:rsidRPr="00E82A30">
        <w:rPr>
          <w:rFonts w:asciiTheme="minorHAnsi" w:hAnsiTheme="minorHAnsi" w:cstheme="minorHAnsi"/>
          <w:lang w:val="el-GR"/>
        </w:rPr>
        <w:t xml:space="preserve">, </w:t>
      </w:r>
      <w:r w:rsidRPr="00E82A30">
        <w:rPr>
          <w:rFonts w:asciiTheme="minorHAnsi" w:hAnsiTheme="minorHAnsi" w:cstheme="minorHAnsi"/>
          <w:lang w:val="el-GR"/>
        </w:rPr>
        <w:t>επηρεάζει κατά τρόπο άδικο και βίαιο την καθημερινή λειτουργία των εργαστηρίων της χώρας</w:t>
      </w:r>
      <w:r w:rsidR="003D188B" w:rsidRPr="00E82A30">
        <w:rPr>
          <w:rFonts w:asciiTheme="minorHAnsi" w:hAnsiTheme="minorHAnsi" w:cstheme="minorHAnsi"/>
          <w:lang w:val="el-GR"/>
        </w:rPr>
        <w:t>,</w:t>
      </w:r>
      <w:r w:rsidRPr="00E82A30">
        <w:rPr>
          <w:rFonts w:asciiTheme="minorHAnsi" w:hAnsiTheme="minorHAnsi" w:cstheme="minorHAnsi"/>
          <w:lang w:val="el-GR"/>
        </w:rPr>
        <w:t xml:space="preserve"> για πολλά από τα οποία δημιουργεί και θέμα επιβίωσης. Ιδιαίτερα για τα εργαστήρια μικρότερου μεγέθους. </w:t>
      </w:r>
    </w:p>
    <w:p w14:paraId="0179370C" w14:textId="6EB17AE7" w:rsidR="005160D7" w:rsidRPr="00E82A30" w:rsidRDefault="003D188B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 xml:space="preserve">Το Διοικητικό Συμβούλιο του Πανελληνίου Ιατρικού Συλλόγου, σε </w:t>
      </w:r>
      <w:r w:rsidR="005160D7" w:rsidRPr="00E82A30">
        <w:rPr>
          <w:rFonts w:asciiTheme="minorHAnsi" w:hAnsiTheme="minorHAnsi" w:cstheme="minorHAnsi"/>
          <w:lang w:val="el-GR"/>
        </w:rPr>
        <w:t>συνεδρίασή του τη</w:t>
      </w:r>
      <w:r w:rsidRPr="00E82A30">
        <w:rPr>
          <w:rFonts w:asciiTheme="minorHAnsi" w:hAnsiTheme="minorHAnsi" w:cstheme="minorHAnsi"/>
          <w:lang w:val="el-GR"/>
        </w:rPr>
        <w:t xml:space="preserve">ν </w:t>
      </w:r>
      <w:r w:rsidR="005160D7" w:rsidRPr="00E82A30">
        <w:rPr>
          <w:rFonts w:asciiTheme="minorHAnsi" w:hAnsiTheme="minorHAnsi" w:cstheme="minorHAnsi"/>
          <w:lang w:val="el-GR"/>
        </w:rPr>
        <w:t>1/10/2021</w:t>
      </w:r>
      <w:r w:rsidR="00867293">
        <w:rPr>
          <w:rFonts w:asciiTheme="minorHAnsi" w:hAnsiTheme="minorHAnsi" w:cstheme="minorHAnsi"/>
          <w:lang w:val="el-GR"/>
        </w:rPr>
        <w:t>,</w:t>
      </w:r>
      <w:r w:rsidR="005160D7" w:rsidRPr="00E82A30">
        <w:rPr>
          <w:rFonts w:asciiTheme="minorHAnsi" w:hAnsiTheme="minorHAnsi" w:cstheme="minorHAnsi"/>
          <w:lang w:val="el-GR"/>
        </w:rPr>
        <w:t xml:space="preserve"> συζήτησε τόσο το θέμα αυτό</w:t>
      </w:r>
      <w:r w:rsidRPr="00E82A30">
        <w:rPr>
          <w:rFonts w:asciiTheme="minorHAnsi" w:hAnsiTheme="minorHAnsi" w:cstheme="minorHAnsi"/>
          <w:lang w:val="el-GR"/>
        </w:rPr>
        <w:t>,</w:t>
      </w:r>
      <w:r w:rsidR="005160D7" w:rsidRPr="00E82A30">
        <w:rPr>
          <w:rFonts w:asciiTheme="minorHAnsi" w:hAnsiTheme="minorHAnsi" w:cstheme="minorHAnsi"/>
          <w:lang w:val="el-GR"/>
        </w:rPr>
        <w:t xml:space="preserve"> όσο και το επίκαιρο θέμα της διε</w:t>
      </w:r>
      <w:r w:rsidR="00DC6D31" w:rsidRPr="00E82A30">
        <w:rPr>
          <w:rFonts w:asciiTheme="minorHAnsi" w:hAnsiTheme="minorHAnsi" w:cstheme="minorHAnsi"/>
          <w:lang w:val="el-GR"/>
        </w:rPr>
        <w:t xml:space="preserve">νέργειας </w:t>
      </w:r>
      <w:r w:rsidRPr="00E82A30">
        <w:rPr>
          <w:rFonts w:asciiTheme="minorHAnsi" w:hAnsiTheme="minorHAnsi" w:cstheme="minorHAnsi"/>
        </w:rPr>
        <w:t>rapid</w:t>
      </w:r>
      <w:r w:rsidRPr="00E82A30">
        <w:rPr>
          <w:rFonts w:asciiTheme="minorHAnsi" w:hAnsiTheme="minorHAnsi" w:cstheme="minorHAnsi"/>
          <w:lang w:val="el-GR"/>
        </w:rPr>
        <w:t xml:space="preserve"> </w:t>
      </w:r>
      <w:r w:rsidRPr="00E82A30">
        <w:rPr>
          <w:rFonts w:asciiTheme="minorHAnsi" w:hAnsiTheme="minorHAnsi" w:cstheme="minorHAnsi"/>
        </w:rPr>
        <w:t>test</w:t>
      </w:r>
      <w:r w:rsidRPr="00E82A30">
        <w:rPr>
          <w:rFonts w:asciiTheme="minorHAnsi" w:hAnsiTheme="minorHAnsi" w:cstheme="minorHAnsi"/>
          <w:lang w:val="el-GR"/>
        </w:rPr>
        <w:t xml:space="preserve"> </w:t>
      </w:r>
      <w:r w:rsidR="005160D7" w:rsidRPr="00E82A30">
        <w:rPr>
          <w:rFonts w:asciiTheme="minorHAnsi" w:hAnsiTheme="minorHAnsi" w:cstheme="minorHAnsi"/>
          <w:lang w:val="el-GR"/>
        </w:rPr>
        <w:t>από τον ιδιωτικό τομέα και διαπίστωσε την ανάγκη άμεσων παρεμβάσεων.</w:t>
      </w:r>
    </w:p>
    <w:p w14:paraId="224187CD" w14:textId="3F39832F" w:rsidR="005160D7" w:rsidRPr="00E82A30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>Οι παρεμβάσεις αυτές είναι</w:t>
      </w:r>
      <w:r w:rsidR="00DC6D31" w:rsidRPr="00E82A30">
        <w:rPr>
          <w:rFonts w:asciiTheme="minorHAnsi" w:hAnsiTheme="minorHAnsi" w:cstheme="minorHAnsi"/>
          <w:lang w:val="el-GR"/>
        </w:rPr>
        <w:t>:</w:t>
      </w:r>
    </w:p>
    <w:p w14:paraId="5D0BB022" w14:textId="77777777" w:rsidR="00DC6D31" w:rsidRDefault="00DC6D31" w:rsidP="00DC6D31">
      <w:pPr>
        <w:jc w:val="both"/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</w:pPr>
    </w:p>
    <w:p w14:paraId="6A1F60BE" w14:textId="2791CA25" w:rsidR="00DC6D31" w:rsidRPr="00DC6D31" w:rsidRDefault="00151F9C" w:rsidP="00DC6D31">
      <w:pPr>
        <w:jc w:val="both"/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</w:pPr>
      <w:r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Προτάσεις Π</w:t>
      </w:r>
      <w:r w:rsidR="00867293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.</w:t>
      </w:r>
      <w:r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Ι</w:t>
      </w:r>
      <w:r w:rsidR="00867293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.</w:t>
      </w:r>
      <w:r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Σ</w:t>
      </w:r>
      <w:r w:rsidR="00867293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.</w:t>
      </w:r>
      <w:r w:rsidR="00DC6D31" w:rsidRPr="00DC6D31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 xml:space="preserve"> για το </w:t>
      </w:r>
      <w:r w:rsidR="00DC6D31" w:rsidRPr="007C6D59">
        <w:rPr>
          <w:rFonts w:ascii="Calibri" w:hAnsi="Calibri" w:cs="Calibri"/>
          <w:b/>
          <w:bCs/>
          <w:i/>
          <w:iCs/>
          <w:sz w:val="32"/>
          <w:szCs w:val="32"/>
        </w:rPr>
        <w:t>clawback</w:t>
      </w:r>
    </w:p>
    <w:p w14:paraId="50CF4A2A" w14:textId="77777777" w:rsidR="00DC6D31" w:rsidRPr="00DC6D31" w:rsidRDefault="00DC6D31" w:rsidP="00DC6D31">
      <w:pPr>
        <w:jc w:val="both"/>
        <w:rPr>
          <w:rFonts w:ascii="Calibri" w:hAnsi="Calibri" w:cs="Calibri"/>
          <w:b/>
          <w:bCs/>
          <w:i/>
          <w:iCs/>
          <w:lang w:val="el-GR"/>
        </w:rPr>
      </w:pPr>
    </w:p>
    <w:p w14:paraId="3B5D11BD" w14:textId="02A4DC68" w:rsidR="00DC6D31" w:rsidRPr="00DC6D31" w:rsidRDefault="00DC6D31" w:rsidP="00DC6D31">
      <w:pPr>
        <w:jc w:val="both"/>
        <w:rPr>
          <w:rFonts w:ascii="Calibri" w:hAnsi="Calibri" w:cs="Calibri"/>
          <w:lang w:val="el-GR"/>
        </w:rPr>
      </w:pPr>
      <w:r w:rsidRPr="00DC6D31">
        <w:rPr>
          <w:rFonts w:ascii="Calibri" w:hAnsi="Calibri" w:cs="Calibri"/>
          <w:lang w:val="el-GR"/>
        </w:rPr>
        <w:t>Μία μεγάλη δέσμη προτάσεων έχουν αναπτυχθεί διεξοδικά από τους εκπροσώπους του Π</w:t>
      </w:r>
      <w:r w:rsidR="00867293">
        <w:rPr>
          <w:rFonts w:ascii="Calibri" w:hAnsi="Calibri" w:cs="Calibri"/>
          <w:lang w:val="el-GR"/>
        </w:rPr>
        <w:t>.</w:t>
      </w:r>
      <w:r w:rsidRPr="00DC6D31">
        <w:rPr>
          <w:rFonts w:ascii="Calibri" w:hAnsi="Calibri" w:cs="Calibri"/>
          <w:lang w:val="el-GR"/>
        </w:rPr>
        <w:t>Ι</w:t>
      </w:r>
      <w:r w:rsidR="00867293">
        <w:rPr>
          <w:rFonts w:ascii="Calibri" w:hAnsi="Calibri" w:cs="Calibri"/>
          <w:lang w:val="el-GR"/>
        </w:rPr>
        <w:t>.</w:t>
      </w:r>
      <w:r w:rsidRPr="00DC6D31">
        <w:rPr>
          <w:rFonts w:ascii="Calibri" w:hAnsi="Calibri" w:cs="Calibri"/>
          <w:lang w:val="el-GR"/>
        </w:rPr>
        <w:t>Σ</w:t>
      </w:r>
      <w:r w:rsidR="00867293">
        <w:rPr>
          <w:rFonts w:ascii="Calibri" w:hAnsi="Calibri" w:cs="Calibri"/>
          <w:lang w:val="el-GR"/>
        </w:rPr>
        <w:t>.</w:t>
      </w:r>
      <w:r w:rsidRPr="00DC6D31">
        <w:rPr>
          <w:rFonts w:ascii="Calibri" w:hAnsi="Calibri" w:cs="Calibri"/>
          <w:lang w:val="el-GR"/>
        </w:rPr>
        <w:t xml:space="preserve"> στον ΕΟΠΥΥ και από το συντονιστικό όργανο για το </w:t>
      </w:r>
      <w:r w:rsidRPr="00DC6D31">
        <w:rPr>
          <w:rFonts w:ascii="Calibri" w:hAnsi="Calibri" w:cs="Calibri"/>
        </w:rPr>
        <w:t>clawback</w:t>
      </w:r>
      <w:r w:rsidRPr="00DC6D31">
        <w:rPr>
          <w:rFonts w:ascii="Calibri" w:hAnsi="Calibri" w:cs="Calibri"/>
          <w:lang w:val="el-GR"/>
        </w:rPr>
        <w:t xml:space="preserve">. Έχουν περάσει 9 χρόνια από τη θέσπιση του </w:t>
      </w:r>
      <w:r w:rsidRPr="00DC6D31">
        <w:rPr>
          <w:rFonts w:ascii="Calibri" w:hAnsi="Calibri" w:cs="Calibri"/>
        </w:rPr>
        <w:t>clawback</w:t>
      </w:r>
      <w:r w:rsidR="00867293">
        <w:rPr>
          <w:rFonts w:ascii="Calibri" w:hAnsi="Calibri" w:cs="Calibri"/>
          <w:lang w:val="el-GR"/>
        </w:rPr>
        <w:t>,</w:t>
      </w:r>
      <w:r w:rsidRPr="00DC6D31">
        <w:rPr>
          <w:rFonts w:ascii="Calibri" w:hAnsi="Calibri" w:cs="Calibri"/>
          <w:lang w:val="el-GR"/>
        </w:rPr>
        <w:t xml:space="preserve"> όπου υπήρξε παντελής αδυναμία ελέγχου των δαπανών και συντονισμένη διαχρονική πολιτική απόφαση άσκησης κοινωνικής πολιτικής και μεταφοράς χρεώσεων του κόστους της διάγνωσης στον ιδιωτικό διαγνωστικό τομέα. </w:t>
      </w:r>
    </w:p>
    <w:p w14:paraId="7C7E4963" w14:textId="77777777" w:rsidR="00DC6D31" w:rsidRPr="00DC6D31" w:rsidRDefault="00DC6D31" w:rsidP="00DC6D31">
      <w:pPr>
        <w:jc w:val="both"/>
        <w:rPr>
          <w:rFonts w:ascii="Calibri" w:hAnsi="Calibri" w:cs="Calibri"/>
          <w:b/>
          <w:bCs/>
          <w:lang w:val="el-GR"/>
        </w:rPr>
      </w:pPr>
    </w:p>
    <w:p w14:paraId="191569D0" w14:textId="77777777" w:rsidR="00DC6D31" w:rsidRDefault="00DC6D31" w:rsidP="00DC6D31">
      <w:pPr>
        <w:jc w:val="both"/>
        <w:rPr>
          <w:rFonts w:ascii="Calibri" w:hAnsi="Calibri" w:cs="Calibri"/>
          <w:b/>
          <w:lang w:val="el-GR"/>
        </w:rPr>
      </w:pPr>
    </w:p>
    <w:p w14:paraId="55DF949F" w14:textId="77777777" w:rsidR="00DC6D31" w:rsidRDefault="00DC6D31" w:rsidP="00DC6D31">
      <w:pPr>
        <w:jc w:val="both"/>
        <w:rPr>
          <w:rFonts w:ascii="Calibri" w:hAnsi="Calibri" w:cs="Calibri"/>
          <w:b/>
          <w:lang w:val="el-GR"/>
        </w:rPr>
      </w:pPr>
    </w:p>
    <w:p w14:paraId="52B489F4" w14:textId="77777777" w:rsidR="00DC6D31" w:rsidRDefault="00DC6D31" w:rsidP="00DC6D31">
      <w:pPr>
        <w:jc w:val="both"/>
        <w:rPr>
          <w:rFonts w:ascii="Calibri" w:hAnsi="Calibri" w:cs="Calibri"/>
          <w:b/>
          <w:lang w:val="el-GR"/>
        </w:rPr>
      </w:pPr>
    </w:p>
    <w:p w14:paraId="4082A110" w14:textId="77777777" w:rsidR="00DC6D31" w:rsidRDefault="00DC6D31" w:rsidP="00DC6D31">
      <w:pPr>
        <w:jc w:val="both"/>
        <w:rPr>
          <w:rFonts w:ascii="Calibri" w:hAnsi="Calibri" w:cs="Calibri"/>
          <w:b/>
          <w:lang w:val="el-GR"/>
        </w:rPr>
      </w:pPr>
    </w:p>
    <w:p w14:paraId="13D250FB" w14:textId="731D2789" w:rsidR="00DC6D31" w:rsidRPr="00DC6D31" w:rsidRDefault="00DC6D31" w:rsidP="00DC6D31">
      <w:pPr>
        <w:jc w:val="both"/>
        <w:rPr>
          <w:rFonts w:ascii="Calibri" w:hAnsi="Calibri" w:cs="Calibri"/>
          <w:b/>
          <w:lang w:val="el-GR"/>
        </w:rPr>
      </w:pPr>
      <w:r w:rsidRPr="00DC6D31">
        <w:rPr>
          <w:rFonts w:ascii="Calibri" w:hAnsi="Calibri" w:cs="Calibri"/>
          <w:b/>
          <w:lang w:val="el-GR"/>
        </w:rPr>
        <w:t>1. Περιορισμός της ζήτησης</w:t>
      </w:r>
    </w:p>
    <w:p w14:paraId="067963F6" w14:textId="77777777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>1.1) Εφαρμογή Διαγνωστικών Πρωτοκόλλων.</w:t>
      </w:r>
    </w:p>
    <w:p w14:paraId="79FC7F5F" w14:textId="77777777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1.2) Έλεγχος της συνταγογράφησης ανά ΑΜΚΑ ασφαλισμένων. Έλεγχος ταυτοποίησης με ειδικό αριθμό </w:t>
      </w:r>
      <w:r w:rsidRPr="007C6D59">
        <w:rPr>
          <w:rFonts w:ascii="Calibri" w:hAnsi="Calibri" w:cs="Calibri"/>
          <w:bCs/>
        </w:rPr>
        <w:t>pin</w:t>
      </w:r>
      <w:r w:rsidRPr="00DC6D31">
        <w:rPr>
          <w:rFonts w:ascii="Calibri" w:hAnsi="Calibri" w:cs="Calibri"/>
          <w:bCs/>
          <w:lang w:val="el-GR"/>
        </w:rPr>
        <w:t>.</w:t>
      </w:r>
    </w:p>
    <w:p w14:paraId="66AF69C1" w14:textId="09A83A6E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>1.3) Κλειστός προϋπολογισμός ανά ΑΜΚΑ ασφαλισμένου</w:t>
      </w:r>
      <w:r w:rsidR="00867293">
        <w:rPr>
          <w:rFonts w:ascii="Calibri" w:hAnsi="Calibri" w:cs="Calibri"/>
          <w:bCs/>
          <w:lang w:val="el-GR"/>
        </w:rPr>
        <w:t>.</w:t>
      </w:r>
    </w:p>
    <w:p w14:paraId="7278EFE5" w14:textId="15D64DBB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>1.4) Ηλεκτρονικό κλείδωμα στη συχνή επαναληψιμότητα των εξετάσεων</w:t>
      </w:r>
      <w:r w:rsidR="00867293">
        <w:rPr>
          <w:rFonts w:ascii="Calibri" w:hAnsi="Calibri" w:cs="Calibri"/>
          <w:bCs/>
          <w:lang w:val="el-GR"/>
        </w:rPr>
        <w:t>.</w:t>
      </w:r>
      <w:r w:rsidRPr="00DC6D31">
        <w:rPr>
          <w:rFonts w:ascii="Calibri" w:hAnsi="Calibri" w:cs="Calibri"/>
          <w:bCs/>
          <w:lang w:val="el-GR"/>
        </w:rPr>
        <w:t xml:space="preserve"> </w:t>
      </w:r>
    </w:p>
    <w:p w14:paraId="24981BC7" w14:textId="5970B924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1.5) </w:t>
      </w:r>
      <w:r w:rsidRPr="007C6D59">
        <w:rPr>
          <w:rFonts w:ascii="Calibri" w:hAnsi="Calibri" w:cs="Calibri"/>
          <w:bCs/>
        </w:rPr>
        <w:t>Real</w:t>
      </w:r>
      <w:r w:rsidRPr="00DC6D31">
        <w:rPr>
          <w:rFonts w:ascii="Calibri" w:hAnsi="Calibri" w:cs="Calibri"/>
          <w:bCs/>
          <w:lang w:val="el-GR"/>
        </w:rPr>
        <w:t xml:space="preserve"> </w:t>
      </w:r>
      <w:r w:rsidRPr="007C6D59">
        <w:rPr>
          <w:rFonts w:ascii="Calibri" w:hAnsi="Calibri" w:cs="Calibri"/>
          <w:bCs/>
        </w:rPr>
        <w:t>time</w:t>
      </w:r>
      <w:r w:rsidRPr="00DC6D31">
        <w:rPr>
          <w:rFonts w:ascii="Calibri" w:hAnsi="Calibri" w:cs="Calibri"/>
          <w:bCs/>
          <w:lang w:val="el-GR"/>
        </w:rPr>
        <w:t xml:space="preserve"> έλεγχος τριγωνικών συναλλαγών με παρακολούθηση του μέσου όρου χρέωσης ανά ΑΜΑ ασφαλισμένου</w:t>
      </w:r>
      <w:r w:rsidR="00867293">
        <w:rPr>
          <w:rFonts w:ascii="Calibri" w:hAnsi="Calibri" w:cs="Calibri"/>
          <w:bCs/>
          <w:lang w:val="el-GR"/>
        </w:rPr>
        <w:t>.</w:t>
      </w:r>
    </w:p>
    <w:p w14:paraId="7A6E773C" w14:textId="77777777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</w:p>
    <w:p w14:paraId="7AE11FBF" w14:textId="77777777" w:rsidR="00DC6D31" w:rsidRPr="00DC6D31" w:rsidRDefault="00DC6D31" w:rsidP="00DC6D31">
      <w:pPr>
        <w:tabs>
          <w:tab w:val="left" w:pos="5552"/>
        </w:tabs>
        <w:jc w:val="both"/>
        <w:rPr>
          <w:rFonts w:ascii="Calibri" w:hAnsi="Calibri" w:cs="Calibri"/>
          <w:b/>
          <w:lang w:val="el-GR"/>
        </w:rPr>
      </w:pPr>
      <w:r w:rsidRPr="00DC6D31">
        <w:rPr>
          <w:rFonts w:ascii="Calibri" w:hAnsi="Calibri" w:cs="Calibri"/>
          <w:b/>
          <w:lang w:val="el-GR"/>
        </w:rPr>
        <w:t>2. Μέτρα ενίσχυσης της ρευστότητας του διαγνωστικού τομέα</w:t>
      </w:r>
    </w:p>
    <w:p w14:paraId="298BD268" w14:textId="547B9034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>2.1) Δικαίωμα είσπραξης για πρόσθετες υπηρεσίες</w:t>
      </w:r>
      <w:r w:rsidR="00867293">
        <w:rPr>
          <w:rFonts w:ascii="Calibri" w:hAnsi="Calibri" w:cs="Calibri"/>
          <w:bCs/>
          <w:lang w:val="el-GR"/>
        </w:rPr>
        <w:t>.</w:t>
      </w:r>
    </w:p>
    <w:p w14:paraId="7413A889" w14:textId="77777777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2.2) Πλαφόν ανά διαγνωστική δομή κάθε μήνα και ιδιωτικό τιμολόγιο μετά, κατά αναλογία με τον κλινικό συμβεβλημένο ιατρό. </w:t>
      </w:r>
    </w:p>
    <w:p w14:paraId="313577EC" w14:textId="7F82A50B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2.3) Κατάργηση του μέτρου της προείσπραξης του 70% του </w:t>
      </w:r>
      <w:r w:rsidRPr="007C6D59">
        <w:rPr>
          <w:rFonts w:ascii="Calibri" w:hAnsi="Calibri" w:cs="Calibri"/>
          <w:bCs/>
        </w:rPr>
        <w:t>clawback</w:t>
      </w:r>
      <w:r w:rsidRPr="00DC6D31">
        <w:rPr>
          <w:rFonts w:ascii="Calibri" w:hAnsi="Calibri" w:cs="Calibri"/>
          <w:bCs/>
          <w:lang w:val="el-GR"/>
        </w:rPr>
        <w:t xml:space="preserve"> του τρέχοντος έτους και δοσοποίησ</w:t>
      </w:r>
      <w:r w:rsidR="00867293">
        <w:rPr>
          <w:rFonts w:ascii="Calibri" w:hAnsi="Calibri" w:cs="Calibri"/>
          <w:bCs/>
          <w:lang w:val="el-GR"/>
        </w:rPr>
        <w:t>ή</w:t>
      </w:r>
      <w:r w:rsidRPr="00DC6D31">
        <w:rPr>
          <w:rFonts w:ascii="Calibri" w:hAnsi="Calibri" w:cs="Calibri"/>
          <w:bCs/>
          <w:lang w:val="el-GR"/>
        </w:rPr>
        <w:t xml:space="preserve"> του σε 120 δόσεις, όπως προβλέπεται για το </w:t>
      </w:r>
      <w:r w:rsidRPr="007C6D59">
        <w:rPr>
          <w:rFonts w:ascii="Calibri" w:hAnsi="Calibri" w:cs="Calibri"/>
          <w:bCs/>
        </w:rPr>
        <w:t>clawback</w:t>
      </w:r>
      <w:r w:rsidRPr="00DC6D31">
        <w:rPr>
          <w:rFonts w:ascii="Calibri" w:hAnsi="Calibri" w:cs="Calibri"/>
          <w:bCs/>
          <w:lang w:val="el-GR"/>
        </w:rPr>
        <w:t xml:space="preserve"> του 2020. </w:t>
      </w:r>
    </w:p>
    <w:p w14:paraId="6B465ECA" w14:textId="77777777" w:rsidR="00DC6D31" w:rsidRPr="00DC6D31" w:rsidRDefault="00DC6D31" w:rsidP="00DC6D31">
      <w:pPr>
        <w:jc w:val="both"/>
        <w:rPr>
          <w:rFonts w:ascii="Calibri" w:hAnsi="Calibri" w:cs="Calibri"/>
          <w:bCs/>
          <w:lang w:val="el-GR"/>
        </w:rPr>
      </w:pPr>
    </w:p>
    <w:p w14:paraId="05AF6538" w14:textId="77777777" w:rsidR="00DC6D31" w:rsidRPr="00DC6D31" w:rsidRDefault="00DC6D31" w:rsidP="00DC6D31">
      <w:pPr>
        <w:jc w:val="both"/>
        <w:rPr>
          <w:rFonts w:ascii="Calibri" w:hAnsi="Calibri" w:cs="Calibri"/>
          <w:b/>
          <w:lang w:val="el-GR"/>
        </w:rPr>
      </w:pPr>
      <w:r w:rsidRPr="00DC6D31">
        <w:rPr>
          <w:rFonts w:ascii="Calibri" w:hAnsi="Calibri" w:cs="Calibri"/>
          <w:b/>
          <w:lang w:val="el-GR"/>
        </w:rPr>
        <w:t>3. Αναμόρφωση του προϋπολογισμού</w:t>
      </w:r>
    </w:p>
    <w:p w14:paraId="34CAD64F" w14:textId="4DB7863B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3.1.) Να αυξηθεί ο προϋπολογισμός του 2021 πάνω από  </w:t>
      </w:r>
      <w:smartTag w:uri="urn:schemas-microsoft-com:office:smarttags" w:element="metricconverter">
        <w:smartTagPr>
          <w:attr w:name="ProductID" w:val="470 εκ."/>
        </w:smartTagPr>
        <w:r w:rsidRPr="00DC6D31">
          <w:rPr>
            <w:rFonts w:ascii="Calibri" w:hAnsi="Calibri" w:cs="Calibri"/>
            <w:bCs/>
            <w:lang w:val="el-GR"/>
          </w:rPr>
          <w:t>470 εκ.</w:t>
        </w:r>
      </w:smartTag>
      <w:r w:rsidRPr="00DC6D31">
        <w:rPr>
          <w:rFonts w:ascii="Calibri" w:hAnsi="Calibri" w:cs="Calibri"/>
          <w:bCs/>
          <w:lang w:val="el-GR"/>
        </w:rPr>
        <w:t xml:space="preserve"> €</w:t>
      </w:r>
      <w:r w:rsidR="00867293">
        <w:rPr>
          <w:rFonts w:ascii="Calibri" w:hAnsi="Calibri" w:cs="Calibri"/>
          <w:bCs/>
          <w:lang w:val="el-GR"/>
        </w:rPr>
        <w:t>,</w:t>
      </w:r>
      <w:r w:rsidR="00585FD0">
        <w:rPr>
          <w:rFonts w:ascii="Calibri" w:hAnsi="Calibri" w:cs="Calibri"/>
          <w:bCs/>
          <w:lang w:val="el-GR"/>
        </w:rPr>
        <w:t xml:space="preserve">  λόγω των αναγκών της πανδημίας </w:t>
      </w:r>
      <w:r w:rsidR="00585FD0">
        <w:rPr>
          <w:rFonts w:ascii="Calibri" w:hAnsi="Calibri" w:cs="Calibri"/>
          <w:bCs/>
        </w:rPr>
        <w:t>COVID</w:t>
      </w:r>
      <w:r w:rsidR="00585FD0" w:rsidRPr="00585FD0">
        <w:rPr>
          <w:rFonts w:ascii="Calibri" w:hAnsi="Calibri" w:cs="Calibri"/>
          <w:bCs/>
          <w:lang w:val="el-GR"/>
        </w:rPr>
        <w:t>-19</w:t>
      </w:r>
      <w:r w:rsidR="00585FD0">
        <w:rPr>
          <w:rFonts w:ascii="Calibri" w:hAnsi="Calibri" w:cs="Calibri"/>
          <w:bCs/>
          <w:lang w:val="el-GR"/>
        </w:rPr>
        <w:t>, αφού κοσ</w:t>
      </w:r>
      <w:r w:rsidR="00585FD0" w:rsidRPr="00DC6D31">
        <w:rPr>
          <w:rFonts w:ascii="Calibri" w:hAnsi="Calibri" w:cs="Calibri"/>
          <w:bCs/>
          <w:lang w:val="el-GR"/>
        </w:rPr>
        <w:t>τολογηθεί</w:t>
      </w:r>
      <w:r w:rsidRPr="00DC6D31">
        <w:rPr>
          <w:rFonts w:ascii="Calibri" w:hAnsi="Calibri" w:cs="Calibri"/>
          <w:bCs/>
          <w:lang w:val="el-GR"/>
        </w:rPr>
        <w:t xml:space="preserve"> η εξυπηρέτηση του πληθυσμού που μετακινήθηκε από τα Νοσοκομεία προς τον ιδιωτικό τομέα. Να δοθούν τα 28 εκ</w:t>
      </w:r>
      <w:r w:rsidR="00867293">
        <w:rPr>
          <w:rFonts w:ascii="Calibri" w:hAnsi="Calibri" w:cs="Calibri"/>
          <w:bCs/>
          <w:lang w:val="el-GR"/>
        </w:rPr>
        <w:t>. €</w:t>
      </w:r>
      <w:r w:rsidRPr="00DC6D31">
        <w:rPr>
          <w:rFonts w:ascii="Calibri" w:hAnsi="Calibri" w:cs="Calibri"/>
          <w:bCs/>
          <w:lang w:val="el-GR"/>
        </w:rPr>
        <w:t xml:space="preserve"> που έχουν κοστολογηθεί </w:t>
      </w:r>
      <w:r w:rsidR="00585FD0">
        <w:rPr>
          <w:rFonts w:ascii="Calibri" w:hAnsi="Calibri" w:cs="Calibri"/>
          <w:bCs/>
          <w:lang w:val="el-GR"/>
        </w:rPr>
        <w:t>για</w:t>
      </w:r>
      <w:r w:rsidRPr="00DC6D31">
        <w:rPr>
          <w:rFonts w:ascii="Calibri" w:hAnsi="Calibri" w:cs="Calibri"/>
          <w:bCs/>
          <w:lang w:val="el-GR"/>
        </w:rPr>
        <w:t xml:space="preserve"> την</w:t>
      </w:r>
      <w:r w:rsidR="00585FD0">
        <w:rPr>
          <w:rFonts w:ascii="Calibri" w:hAnsi="Calibri" w:cs="Calibri"/>
          <w:bCs/>
          <w:lang w:val="el-GR"/>
        </w:rPr>
        <w:t xml:space="preserve"> αντίστοιχη</w:t>
      </w:r>
      <w:r w:rsidRPr="00DC6D31">
        <w:rPr>
          <w:rFonts w:ascii="Calibri" w:hAnsi="Calibri" w:cs="Calibri"/>
          <w:bCs/>
          <w:lang w:val="el-GR"/>
        </w:rPr>
        <w:t xml:space="preserve"> μετακίνηση του πληθυσμού για το 2020. </w:t>
      </w:r>
    </w:p>
    <w:p w14:paraId="648C5AAE" w14:textId="14A558AF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3.2.) Να δοθεί μερίδιο από το Ευρωπαϊκό πακέτο στήριξης </w:t>
      </w:r>
      <w:r>
        <w:rPr>
          <w:rFonts w:ascii="Calibri" w:hAnsi="Calibri" w:cs="Calibri"/>
          <w:bCs/>
        </w:rPr>
        <w:t>COVID</w:t>
      </w:r>
      <w:r w:rsidRPr="00DC6D31">
        <w:rPr>
          <w:rFonts w:ascii="Calibri" w:hAnsi="Calibri" w:cs="Calibri"/>
          <w:bCs/>
          <w:lang w:val="el-GR"/>
        </w:rPr>
        <w:t xml:space="preserve"> στον διαγνωστικό τομέα του ΕΟΠΥΥ λόγω αύξησης της νοσηρότητας του πληθυσμού</w:t>
      </w:r>
      <w:r w:rsidR="00867293">
        <w:rPr>
          <w:rFonts w:ascii="Calibri" w:hAnsi="Calibri" w:cs="Calibri"/>
          <w:bCs/>
          <w:lang w:val="el-GR"/>
        </w:rPr>
        <w:t>,</w:t>
      </w:r>
      <w:r w:rsidRPr="00DC6D31">
        <w:rPr>
          <w:rFonts w:ascii="Calibri" w:hAnsi="Calibri" w:cs="Calibri"/>
          <w:bCs/>
          <w:lang w:val="el-GR"/>
        </w:rPr>
        <w:t xml:space="preserve"> λόγω </w:t>
      </w:r>
      <w:r>
        <w:rPr>
          <w:rFonts w:ascii="Calibri" w:hAnsi="Calibri" w:cs="Calibri"/>
          <w:bCs/>
        </w:rPr>
        <w:t>COVID</w:t>
      </w:r>
      <w:r w:rsidRPr="00DC6D31">
        <w:rPr>
          <w:rFonts w:ascii="Calibri" w:hAnsi="Calibri" w:cs="Calibri"/>
          <w:bCs/>
          <w:lang w:val="el-GR"/>
        </w:rPr>
        <w:t xml:space="preserve"> και </w:t>
      </w:r>
      <w:r>
        <w:rPr>
          <w:rFonts w:ascii="Calibri" w:hAnsi="Calibri" w:cs="Calibri"/>
          <w:bCs/>
        </w:rPr>
        <w:t>non</w:t>
      </w:r>
      <w:r w:rsidRPr="00DC6D31">
        <w:rPr>
          <w:rFonts w:ascii="Calibri" w:hAnsi="Calibri" w:cs="Calibri"/>
          <w:bCs/>
          <w:lang w:val="el-GR"/>
        </w:rPr>
        <w:t xml:space="preserve"> </w:t>
      </w:r>
      <w:r>
        <w:rPr>
          <w:rFonts w:ascii="Calibri" w:hAnsi="Calibri" w:cs="Calibri"/>
          <w:bCs/>
        </w:rPr>
        <w:t>COVID</w:t>
      </w:r>
      <w:r w:rsidRPr="00DC6D31">
        <w:rPr>
          <w:rFonts w:ascii="Calibri" w:hAnsi="Calibri" w:cs="Calibri"/>
          <w:bCs/>
          <w:lang w:val="el-GR"/>
        </w:rPr>
        <w:t xml:space="preserve"> χρόνιων παθήσεων. </w:t>
      </w:r>
    </w:p>
    <w:p w14:paraId="777FB813" w14:textId="77777777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3.3.) Να αναζητηθούν πόροι από επιβολή φόρου στον καπνό. </w:t>
      </w:r>
    </w:p>
    <w:p w14:paraId="79C59C32" w14:textId="77777777" w:rsidR="00DC6D31" w:rsidRPr="00DC6D31" w:rsidRDefault="00DC6D31" w:rsidP="00DC6D31">
      <w:pPr>
        <w:tabs>
          <w:tab w:val="left" w:pos="5552"/>
        </w:tabs>
        <w:ind w:left="720"/>
        <w:jc w:val="both"/>
        <w:rPr>
          <w:rFonts w:ascii="Calibri" w:hAnsi="Calibri" w:cs="Calibri"/>
          <w:bCs/>
          <w:lang w:val="el-GR"/>
        </w:rPr>
      </w:pPr>
    </w:p>
    <w:p w14:paraId="2D062E90" w14:textId="2E08A275" w:rsidR="00DC6D31" w:rsidRPr="00DC6D31" w:rsidRDefault="00DC6D31" w:rsidP="00DC6D31">
      <w:pPr>
        <w:jc w:val="both"/>
        <w:rPr>
          <w:rFonts w:ascii="Calibri" w:hAnsi="Calibri" w:cs="Calibri"/>
          <w:b/>
          <w:lang w:val="el-GR"/>
        </w:rPr>
      </w:pPr>
      <w:r w:rsidRPr="00DC6D31">
        <w:rPr>
          <w:rFonts w:ascii="Calibri" w:hAnsi="Calibri" w:cs="Calibri"/>
          <w:b/>
          <w:lang w:val="el-GR"/>
        </w:rPr>
        <w:t xml:space="preserve">4. Εξορθολογισμός της κατανομής του </w:t>
      </w:r>
      <w:r w:rsidR="00867293">
        <w:rPr>
          <w:rFonts w:ascii="Calibri" w:hAnsi="Calibri" w:cs="Calibri"/>
          <w:b/>
        </w:rPr>
        <w:t>c</w:t>
      </w:r>
      <w:r w:rsidRPr="007C6D59">
        <w:rPr>
          <w:rFonts w:ascii="Calibri" w:hAnsi="Calibri" w:cs="Calibri"/>
          <w:b/>
        </w:rPr>
        <w:t>lawback</w:t>
      </w:r>
    </w:p>
    <w:p w14:paraId="613522A7" w14:textId="059E287E" w:rsidR="00DC6D31" w:rsidRPr="00DC6D31" w:rsidRDefault="00DC6D31" w:rsidP="00DC6D31">
      <w:pPr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4.1.) Κατανομή του προϋπολογισμού και προσδιορισμός του </w:t>
      </w:r>
      <w:r w:rsidR="00867293">
        <w:rPr>
          <w:rFonts w:ascii="Calibri" w:hAnsi="Calibri" w:cs="Calibri"/>
          <w:bCs/>
        </w:rPr>
        <w:t>c</w:t>
      </w:r>
      <w:r w:rsidRPr="007C6D59">
        <w:rPr>
          <w:rFonts w:ascii="Calibri" w:hAnsi="Calibri" w:cs="Calibri"/>
          <w:bCs/>
        </w:rPr>
        <w:t>lawback</w:t>
      </w:r>
      <w:r w:rsidRPr="00DC6D31">
        <w:rPr>
          <w:rFonts w:ascii="Calibri" w:hAnsi="Calibri" w:cs="Calibri"/>
          <w:bCs/>
          <w:lang w:val="el-GR"/>
        </w:rPr>
        <w:t xml:space="preserve"> ανά νομό.</w:t>
      </w:r>
    </w:p>
    <w:p w14:paraId="4E7F406D" w14:textId="1F8426EB" w:rsidR="00DC6D31" w:rsidRPr="00867293" w:rsidRDefault="00DC6D31" w:rsidP="00DC6D31">
      <w:pPr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4.2.) Να εξαιρεθούν του </w:t>
      </w:r>
      <w:r w:rsidRPr="007C6D59">
        <w:rPr>
          <w:rFonts w:ascii="Calibri" w:hAnsi="Calibri" w:cs="Calibri"/>
          <w:bCs/>
        </w:rPr>
        <w:t>clawback</w:t>
      </w:r>
      <w:r w:rsidRPr="00DC6D31">
        <w:rPr>
          <w:rFonts w:ascii="Calibri" w:hAnsi="Calibri" w:cs="Calibri"/>
          <w:bCs/>
          <w:lang w:val="el-GR"/>
        </w:rPr>
        <w:t xml:space="preserve"> οι συνιστώμενες προληπτικές εξετάσεις</w:t>
      </w:r>
      <w:r w:rsidR="00867293" w:rsidRPr="00867293">
        <w:rPr>
          <w:rFonts w:ascii="Calibri" w:hAnsi="Calibri" w:cs="Calibri"/>
          <w:bCs/>
          <w:lang w:val="el-GR"/>
        </w:rPr>
        <w:t>.</w:t>
      </w:r>
    </w:p>
    <w:p w14:paraId="02D774B0" w14:textId="77777777" w:rsidR="00DC6D31" w:rsidRPr="00DC6D31" w:rsidRDefault="00DC6D31" w:rsidP="00DC6D31">
      <w:pPr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4.3.) Θέσπιση ατομικού </w:t>
      </w:r>
      <w:r w:rsidRPr="007C6D59">
        <w:rPr>
          <w:rFonts w:ascii="Calibri" w:hAnsi="Calibri" w:cs="Calibri"/>
          <w:bCs/>
        </w:rPr>
        <w:t>clawback</w:t>
      </w:r>
      <w:r w:rsidRPr="00DC6D31">
        <w:rPr>
          <w:rFonts w:ascii="Calibri" w:hAnsi="Calibri" w:cs="Calibri"/>
          <w:bCs/>
          <w:lang w:val="el-GR"/>
        </w:rPr>
        <w:t xml:space="preserve"> όταν μία δομή αναπτύσσει υποβολές πάνω από το μέσο όρο ανάπτυξης της χώρας και του νομού. </w:t>
      </w:r>
    </w:p>
    <w:p w14:paraId="1EA4244F" w14:textId="77777777" w:rsidR="00DC6D31" w:rsidRPr="00DC6D31" w:rsidRDefault="00DC6D31" w:rsidP="00DC6D31">
      <w:pPr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lastRenderedPageBreak/>
        <w:t xml:space="preserve">4.4.) Πλαφόν ανώτατου ορίου </w:t>
      </w:r>
      <w:r>
        <w:rPr>
          <w:rFonts w:ascii="Calibri" w:hAnsi="Calibri" w:cs="Calibri"/>
          <w:bCs/>
        </w:rPr>
        <w:t>clawback</w:t>
      </w:r>
      <w:r w:rsidRPr="00DC6D31">
        <w:rPr>
          <w:rFonts w:ascii="Calibri" w:hAnsi="Calibri" w:cs="Calibri"/>
          <w:bCs/>
          <w:lang w:val="el-GR"/>
        </w:rPr>
        <w:t xml:space="preserve"> κάτω από 10% το πρώτο έτος, 5% το δεύτερο έτος, 2,5% το τρίτο έτος μέχρι την τελική κατάργησή του.  Σε περίπτωση υπέρβασης του πλαφόν, η πολιτεία οφείλει να καλύπτει τη διαφορά. </w:t>
      </w:r>
    </w:p>
    <w:p w14:paraId="1A11B02A" w14:textId="77777777" w:rsidR="00DC6D31" w:rsidRPr="00DC6D31" w:rsidRDefault="00DC6D31" w:rsidP="00DC6D31">
      <w:pPr>
        <w:ind w:left="720"/>
        <w:jc w:val="both"/>
        <w:rPr>
          <w:rFonts w:ascii="Calibri" w:hAnsi="Calibri" w:cs="Calibri"/>
          <w:bCs/>
          <w:lang w:val="el-GR"/>
        </w:rPr>
      </w:pPr>
      <w:r w:rsidRPr="00DC6D31">
        <w:rPr>
          <w:rFonts w:ascii="Calibri" w:hAnsi="Calibri" w:cs="Calibri"/>
          <w:bCs/>
          <w:lang w:val="el-GR"/>
        </w:rPr>
        <w:t xml:space="preserve">4.5.) Με την εξάντληση του ανώτατου ορίου για κάθε μήνα, όλες οι συνταγές θα εκδίδονται για τις δημόσιες δομές. </w:t>
      </w:r>
    </w:p>
    <w:p w14:paraId="339FEDFC" w14:textId="77777777" w:rsidR="00DC6D31" w:rsidRPr="00DC6D31" w:rsidRDefault="00DC6D31" w:rsidP="00DC6D31">
      <w:pPr>
        <w:ind w:left="720"/>
        <w:jc w:val="both"/>
        <w:rPr>
          <w:rFonts w:ascii="Calibri" w:hAnsi="Calibri" w:cs="Calibri"/>
          <w:bCs/>
          <w:lang w:val="el-GR"/>
        </w:rPr>
      </w:pPr>
    </w:p>
    <w:p w14:paraId="2D8C89B3" w14:textId="2201768D" w:rsidR="00040064" w:rsidRDefault="00585FD0" w:rsidP="00585FD0">
      <w:pPr>
        <w:ind w:left="360"/>
        <w:jc w:val="both"/>
        <w:rPr>
          <w:rFonts w:ascii="Calibri" w:hAnsi="Calibri" w:cs="Calibri"/>
          <w:b/>
          <w:bCs/>
          <w:lang w:val="el-GR"/>
        </w:rPr>
      </w:pPr>
      <w:r w:rsidRPr="00040064">
        <w:rPr>
          <w:rFonts w:ascii="Calibri" w:hAnsi="Calibri" w:cs="Calibri"/>
          <w:b/>
          <w:bCs/>
          <w:lang w:val="el-GR"/>
        </w:rPr>
        <w:t>Το Διοικητικό Συμβούλιο του Π</w:t>
      </w:r>
      <w:r w:rsidR="00867293" w:rsidRPr="00867293">
        <w:rPr>
          <w:rFonts w:ascii="Calibri" w:hAnsi="Calibri" w:cs="Calibri"/>
          <w:b/>
          <w:bCs/>
          <w:lang w:val="el-GR"/>
        </w:rPr>
        <w:t>.</w:t>
      </w:r>
      <w:r w:rsidRPr="00040064">
        <w:rPr>
          <w:rFonts w:ascii="Calibri" w:hAnsi="Calibri" w:cs="Calibri"/>
          <w:b/>
          <w:bCs/>
          <w:lang w:val="el-GR"/>
        </w:rPr>
        <w:t>Ι</w:t>
      </w:r>
      <w:r w:rsidR="00867293" w:rsidRPr="00867293">
        <w:rPr>
          <w:rFonts w:ascii="Calibri" w:hAnsi="Calibri" w:cs="Calibri"/>
          <w:b/>
          <w:bCs/>
          <w:lang w:val="el-GR"/>
        </w:rPr>
        <w:t>.</w:t>
      </w:r>
      <w:r w:rsidRPr="00040064">
        <w:rPr>
          <w:rFonts w:ascii="Calibri" w:hAnsi="Calibri" w:cs="Calibri"/>
          <w:b/>
          <w:bCs/>
          <w:lang w:val="el-GR"/>
        </w:rPr>
        <w:t>Σ</w:t>
      </w:r>
      <w:r w:rsidR="00867293" w:rsidRPr="00867293">
        <w:rPr>
          <w:rFonts w:ascii="Calibri" w:hAnsi="Calibri" w:cs="Calibri"/>
          <w:b/>
          <w:bCs/>
          <w:lang w:val="el-GR"/>
        </w:rPr>
        <w:t>.</w:t>
      </w:r>
      <w:r w:rsidRPr="00040064">
        <w:rPr>
          <w:rFonts w:ascii="Calibri" w:hAnsi="Calibri" w:cs="Calibri"/>
          <w:b/>
          <w:bCs/>
          <w:lang w:val="el-GR"/>
        </w:rPr>
        <w:t xml:space="preserve"> αποφάσισε τη συμπαράσταση σε όλες τις ανακοινωμένες δράσεις του ιδιωτικού διαγνωστικού κλάδου που εκφράζονται μέσα από το συντονιστικό όργανο για το </w:t>
      </w:r>
      <w:r w:rsidRPr="00040064">
        <w:rPr>
          <w:rFonts w:ascii="Calibri" w:hAnsi="Calibri" w:cs="Calibri"/>
          <w:b/>
          <w:bCs/>
        </w:rPr>
        <w:t>clawback</w:t>
      </w:r>
      <w:r w:rsidRPr="00040064">
        <w:rPr>
          <w:rFonts w:ascii="Calibri" w:hAnsi="Calibri" w:cs="Calibri"/>
          <w:b/>
          <w:bCs/>
          <w:lang w:val="el-GR"/>
        </w:rPr>
        <w:t xml:space="preserve">. </w:t>
      </w:r>
    </w:p>
    <w:p w14:paraId="2D2DC030" w14:textId="77777777" w:rsidR="00867293" w:rsidRPr="00040064" w:rsidRDefault="00867293" w:rsidP="00585FD0">
      <w:pPr>
        <w:ind w:left="360"/>
        <w:jc w:val="both"/>
        <w:rPr>
          <w:rFonts w:ascii="Calibri" w:hAnsi="Calibri" w:cs="Calibri"/>
          <w:b/>
          <w:bCs/>
          <w:lang w:val="el-GR"/>
        </w:rPr>
      </w:pPr>
    </w:p>
    <w:p w14:paraId="03D1C4B6" w14:textId="7DAC4F69" w:rsidR="00E82A30" w:rsidRDefault="00585FD0" w:rsidP="00585FD0">
      <w:pPr>
        <w:ind w:left="360"/>
        <w:jc w:val="both"/>
        <w:rPr>
          <w:rFonts w:ascii="Calibri" w:hAnsi="Calibri" w:cs="Calibri"/>
          <w:bCs/>
          <w:lang w:val="el-GR"/>
        </w:rPr>
      </w:pPr>
      <w:r>
        <w:rPr>
          <w:rFonts w:ascii="Calibri" w:hAnsi="Calibri" w:cs="Calibri"/>
          <w:bCs/>
          <w:lang w:val="el-GR"/>
        </w:rPr>
        <w:t>Οι εκπρόσωποι του Π</w:t>
      </w:r>
      <w:r w:rsidR="00867293" w:rsidRPr="00867293">
        <w:rPr>
          <w:rFonts w:ascii="Calibri" w:hAnsi="Calibri" w:cs="Calibri"/>
          <w:bCs/>
          <w:lang w:val="el-GR"/>
        </w:rPr>
        <w:t>.</w:t>
      </w:r>
      <w:r>
        <w:rPr>
          <w:rFonts w:ascii="Calibri" w:hAnsi="Calibri" w:cs="Calibri"/>
          <w:bCs/>
          <w:lang w:val="el-GR"/>
        </w:rPr>
        <w:t>Ι</w:t>
      </w:r>
      <w:r w:rsidR="00867293" w:rsidRPr="00867293">
        <w:rPr>
          <w:rFonts w:ascii="Calibri" w:hAnsi="Calibri" w:cs="Calibri"/>
          <w:bCs/>
          <w:lang w:val="el-GR"/>
        </w:rPr>
        <w:t>.</w:t>
      </w:r>
      <w:r>
        <w:rPr>
          <w:rFonts w:ascii="Calibri" w:hAnsi="Calibri" w:cs="Calibri"/>
          <w:bCs/>
          <w:lang w:val="el-GR"/>
        </w:rPr>
        <w:t>Σ</w:t>
      </w:r>
      <w:r w:rsidR="00867293" w:rsidRPr="00867293">
        <w:rPr>
          <w:rFonts w:ascii="Calibri" w:hAnsi="Calibri" w:cs="Calibri"/>
          <w:bCs/>
          <w:lang w:val="el-GR"/>
        </w:rPr>
        <w:t>.</w:t>
      </w:r>
      <w:r>
        <w:rPr>
          <w:rFonts w:ascii="Calibri" w:hAnsi="Calibri" w:cs="Calibri"/>
          <w:bCs/>
          <w:lang w:val="el-GR"/>
        </w:rPr>
        <w:t xml:space="preserve"> στην επιτροπή </w:t>
      </w:r>
      <w:r>
        <w:rPr>
          <w:rFonts w:ascii="Calibri" w:hAnsi="Calibri" w:cs="Calibri"/>
          <w:bCs/>
        </w:rPr>
        <w:t>clawback</w:t>
      </w:r>
      <w:r w:rsidR="00E82A30">
        <w:rPr>
          <w:rFonts w:ascii="Calibri" w:hAnsi="Calibri" w:cs="Calibri"/>
          <w:bCs/>
          <w:lang w:val="el-GR"/>
        </w:rPr>
        <w:t xml:space="preserve"> του Υπουργ</w:t>
      </w:r>
      <w:r w:rsidR="00867293">
        <w:rPr>
          <w:rFonts w:ascii="Calibri" w:hAnsi="Calibri" w:cs="Calibri"/>
          <w:bCs/>
          <w:lang w:val="el-GR"/>
        </w:rPr>
        <w:t xml:space="preserve">είου </w:t>
      </w:r>
      <w:r w:rsidR="00E82A30">
        <w:rPr>
          <w:rFonts w:ascii="Calibri" w:hAnsi="Calibri" w:cs="Calibri"/>
          <w:bCs/>
          <w:lang w:val="el-GR"/>
        </w:rPr>
        <w:t>Υγείας</w:t>
      </w:r>
      <w:r w:rsidRPr="00585FD0">
        <w:rPr>
          <w:rFonts w:ascii="Calibri" w:hAnsi="Calibri" w:cs="Calibri"/>
          <w:bCs/>
          <w:lang w:val="el-GR"/>
        </w:rPr>
        <w:t xml:space="preserve"> </w:t>
      </w:r>
      <w:r>
        <w:rPr>
          <w:rFonts w:ascii="Calibri" w:hAnsi="Calibri" w:cs="Calibri"/>
          <w:bCs/>
          <w:lang w:val="el-GR"/>
        </w:rPr>
        <w:t>έχουν υποβάλει την παραίτησ</w:t>
      </w:r>
      <w:r w:rsidR="00867293">
        <w:rPr>
          <w:rFonts w:ascii="Calibri" w:hAnsi="Calibri" w:cs="Calibri"/>
          <w:bCs/>
          <w:lang w:val="el-GR"/>
        </w:rPr>
        <w:t>ή</w:t>
      </w:r>
      <w:r>
        <w:rPr>
          <w:rFonts w:ascii="Calibri" w:hAnsi="Calibri" w:cs="Calibri"/>
          <w:bCs/>
          <w:lang w:val="el-GR"/>
        </w:rPr>
        <w:t xml:space="preserve"> του</w:t>
      </w:r>
      <w:r w:rsidR="00040064">
        <w:rPr>
          <w:rFonts w:ascii="Calibri" w:hAnsi="Calibri" w:cs="Calibri"/>
          <w:bCs/>
          <w:lang w:val="el-GR"/>
        </w:rPr>
        <w:t>ς</w:t>
      </w:r>
      <w:r>
        <w:rPr>
          <w:rFonts w:ascii="Calibri" w:hAnsi="Calibri" w:cs="Calibri"/>
          <w:bCs/>
          <w:lang w:val="el-GR"/>
        </w:rPr>
        <w:t xml:space="preserve"> σε ένδειξη διαμαρτυρίας για την αδράνεια </w:t>
      </w:r>
      <w:r w:rsidR="00040064">
        <w:rPr>
          <w:rFonts w:ascii="Calibri" w:hAnsi="Calibri" w:cs="Calibri"/>
          <w:bCs/>
          <w:lang w:val="el-GR"/>
        </w:rPr>
        <w:t>του ΕΟΠΥΥ</w:t>
      </w:r>
      <w:r>
        <w:rPr>
          <w:rFonts w:ascii="Calibri" w:hAnsi="Calibri" w:cs="Calibri"/>
          <w:bCs/>
          <w:lang w:val="el-GR"/>
        </w:rPr>
        <w:t xml:space="preserve"> στην υιοθέτηση και εφαρμογή </w:t>
      </w:r>
      <w:r w:rsidR="00040064">
        <w:rPr>
          <w:rFonts w:ascii="Calibri" w:hAnsi="Calibri" w:cs="Calibri"/>
          <w:bCs/>
          <w:lang w:val="el-GR"/>
        </w:rPr>
        <w:t xml:space="preserve">των </w:t>
      </w:r>
      <w:r>
        <w:rPr>
          <w:rFonts w:ascii="Calibri" w:hAnsi="Calibri" w:cs="Calibri"/>
          <w:bCs/>
          <w:lang w:val="el-GR"/>
        </w:rPr>
        <w:t>μέτρων</w:t>
      </w:r>
      <w:r w:rsidR="00040064">
        <w:rPr>
          <w:rFonts w:ascii="Calibri" w:hAnsi="Calibri" w:cs="Calibri"/>
          <w:bCs/>
          <w:lang w:val="el-GR"/>
        </w:rPr>
        <w:t xml:space="preserve"> αναδιάρθρωσης του </w:t>
      </w:r>
      <w:r w:rsidR="00040064">
        <w:rPr>
          <w:rFonts w:ascii="Calibri" w:hAnsi="Calibri" w:cs="Calibri"/>
          <w:bCs/>
        </w:rPr>
        <w:t>clawback</w:t>
      </w:r>
      <w:r>
        <w:rPr>
          <w:rFonts w:ascii="Calibri" w:hAnsi="Calibri" w:cs="Calibri"/>
          <w:bCs/>
          <w:lang w:val="el-GR"/>
        </w:rPr>
        <w:t xml:space="preserve">. </w:t>
      </w:r>
    </w:p>
    <w:p w14:paraId="322B70A5" w14:textId="0929DC73" w:rsidR="00DC6D31" w:rsidRPr="00040064" w:rsidRDefault="00585FD0" w:rsidP="00585FD0">
      <w:pPr>
        <w:ind w:left="360"/>
        <w:jc w:val="both"/>
        <w:rPr>
          <w:rFonts w:ascii="Calibri" w:hAnsi="Calibri" w:cs="Calibri"/>
          <w:bCs/>
          <w:lang w:val="el-GR"/>
        </w:rPr>
      </w:pPr>
      <w:r>
        <w:rPr>
          <w:rFonts w:ascii="Calibri" w:hAnsi="Calibri" w:cs="Calibri"/>
          <w:bCs/>
          <w:lang w:val="el-GR"/>
        </w:rPr>
        <w:t xml:space="preserve">Τα διαγνωστικά εργαστήρια, κλινικοεργαστηριακά ιατρεία, πολυϊατρεία και διαγνωστικά κέντρα υποχρεώνονται σε εξυπηρέτηση των πολιτών με κλειστό </w:t>
      </w:r>
      <w:r w:rsidR="00E82A30">
        <w:rPr>
          <w:rFonts w:ascii="Calibri" w:hAnsi="Calibri" w:cs="Calibri"/>
          <w:bCs/>
          <w:lang w:val="el-GR"/>
        </w:rPr>
        <w:t xml:space="preserve">πενιχρό </w:t>
      </w:r>
      <w:r>
        <w:rPr>
          <w:rFonts w:ascii="Calibri" w:hAnsi="Calibri" w:cs="Calibri"/>
          <w:bCs/>
          <w:lang w:val="el-GR"/>
        </w:rPr>
        <w:t>προϋπολογισμό που δεν ανταποκρίνεται στις ανάγκες του πληθυσμού. Το κόστος της κοινωνικής πολιτικής του κράτους και της πανδημίας δεν μπορεί να περιέλθει καταχρηστικά στους επιστήμονες και τις επιχειρήσεις της Π</w:t>
      </w:r>
      <w:r w:rsidR="00867293">
        <w:rPr>
          <w:rFonts w:ascii="Calibri" w:hAnsi="Calibri" w:cs="Calibri"/>
          <w:bCs/>
          <w:lang w:val="el-GR"/>
        </w:rPr>
        <w:t>.</w:t>
      </w:r>
      <w:r>
        <w:rPr>
          <w:rFonts w:ascii="Calibri" w:hAnsi="Calibri" w:cs="Calibri"/>
          <w:bCs/>
          <w:lang w:val="el-GR"/>
        </w:rPr>
        <w:t>Φ</w:t>
      </w:r>
      <w:r w:rsidR="00867293">
        <w:rPr>
          <w:rFonts w:ascii="Calibri" w:hAnsi="Calibri" w:cs="Calibri"/>
          <w:bCs/>
          <w:lang w:val="el-GR"/>
        </w:rPr>
        <w:t>.</w:t>
      </w:r>
      <w:r>
        <w:rPr>
          <w:rFonts w:ascii="Calibri" w:hAnsi="Calibri" w:cs="Calibri"/>
          <w:bCs/>
          <w:lang w:val="el-GR"/>
        </w:rPr>
        <w:t xml:space="preserve">Υ. </w:t>
      </w:r>
      <w:r w:rsidR="00040064">
        <w:rPr>
          <w:rFonts w:ascii="Calibri" w:hAnsi="Calibri" w:cs="Calibri"/>
          <w:bCs/>
          <w:lang w:val="el-GR"/>
        </w:rPr>
        <w:t xml:space="preserve">Η προκαταβολή του 70% του </w:t>
      </w:r>
      <w:r w:rsidR="00040064">
        <w:rPr>
          <w:rFonts w:ascii="Calibri" w:hAnsi="Calibri" w:cs="Calibri"/>
          <w:bCs/>
        </w:rPr>
        <w:t>clawback</w:t>
      </w:r>
      <w:r w:rsidR="00040064" w:rsidRPr="00040064">
        <w:rPr>
          <w:rFonts w:ascii="Calibri" w:hAnsi="Calibri" w:cs="Calibri"/>
          <w:bCs/>
          <w:lang w:val="el-GR"/>
        </w:rPr>
        <w:t xml:space="preserve"> </w:t>
      </w:r>
      <w:r w:rsidR="00040064">
        <w:rPr>
          <w:rFonts w:ascii="Calibri" w:hAnsi="Calibri" w:cs="Calibri"/>
          <w:bCs/>
          <w:lang w:val="el-GR"/>
        </w:rPr>
        <w:t>του τρέχοντος έτο</w:t>
      </w:r>
      <w:r w:rsidR="00E82A30">
        <w:rPr>
          <w:rFonts w:ascii="Calibri" w:hAnsi="Calibri" w:cs="Calibri"/>
          <w:bCs/>
          <w:lang w:val="el-GR"/>
        </w:rPr>
        <w:t>υ</w:t>
      </w:r>
      <w:r w:rsidR="00040064">
        <w:rPr>
          <w:rFonts w:ascii="Calibri" w:hAnsi="Calibri" w:cs="Calibri"/>
          <w:bCs/>
          <w:lang w:val="el-GR"/>
        </w:rPr>
        <w:t xml:space="preserve">ς είναι ακραίο μέτρο που οδηγεί σε έλλειψη ρευστότητας και χρεοκοπία του ιδιωτικού διαγνωστικού τομέα. </w:t>
      </w:r>
    </w:p>
    <w:p w14:paraId="6487499B" w14:textId="77777777" w:rsidR="00DC6D31" w:rsidRDefault="00DC6D31" w:rsidP="00DC6D31">
      <w:pPr>
        <w:jc w:val="both"/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</w:pPr>
    </w:p>
    <w:p w14:paraId="1F090A7B" w14:textId="77DBBC6D" w:rsidR="00DC6D31" w:rsidRPr="00DC6D31" w:rsidRDefault="00151F9C" w:rsidP="00DC6D31">
      <w:pPr>
        <w:jc w:val="both"/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</w:pPr>
      <w:r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Προτάσεις Π</w:t>
      </w:r>
      <w:r w:rsidR="005452DB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.</w:t>
      </w:r>
      <w:r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Ι</w:t>
      </w:r>
      <w:r w:rsidR="005452DB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.</w:t>
      </w:r>
      <w:r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Σ</w:t>
      </w:r>
      <w:r w:rsidR="005452DB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>.</w:t>
      </w:r>
      <w:r w:rsidR="00DC6D31" w:rsidRPr="00DC6D31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 xml:space="preserve"> για τη διενέργεια </w:t>
      </w:r>
      <w:r w:rsidR="00DC6D31" w:rsidRPr="00FC665E">
        <w:rPr>
          <w:rFonts w:ascii="Calibri" w:hAnsi="Calibri" w:cs="Calibri"/>
          <w:b/>
          <w:bCs/>
          <w:i/>
          <w:iCs/>
          <w:sz w:val="32"/>
          <w:szCs w:val="32"/>
        </w:rPr>
        <w:t>rapid</w:t>
      </w:r>
      <w:r w:rsidR="00DC6D31" w:rsidRPr="00DC6D31">
        <w:rPr>
          <w:rFonts w:ascii="Calibri" w:hAnsi="Calibri" w:cs="Calibri"/>
          <w:b/>
          <w:bCs/>
          <w:i/>
          <w:iCs/>
          <w:sz w:val="32"/>
          <w:szCs w:val="32"/>
          <w:lang w:val="el-GR"/>
        </w:rPr>
        <w:t xml:space="preserve"> </w:t>
      </w:r>
      <w:r w:rsidR="00DC6D31" w:rsidRPr="00FC665E">
        <w:rPr>
          <w:rFonts w:ascii="Calibri" w:hAnsi="Calibri" w:cs="Calibri"/>
          <w:b/>
          <w:bCs/>
          <w:i/>
          <w:iCs/>
          <w:sz w:val="32"/>
          <w:szCs w:val="32"/>
        </w:rPr>
        <w:t>test</w:t>
      </w:r>
    </w:p>
    <w:p w14:paraId="38E3D28C" w14:textId="77777777" w:rsidR="00DC6D31" w:rsidRPr="00DC6D31" w:rsidRDefault="00DC6D31" w:rsidP="00DC6D31">
      <w:pPr>
        <w:jc w:val="both"/>
        <w:rPr>
          <w:rFonts w:ascii="Calibri" w:hAnsi="Calibri" w:cs="Calibri"/>
          <w:lang w:val="el-GR"/>
        </w:rPr>
      </w:pPr>
    </w:p>
    <w:p w14:paraId="171111BD" w14:textId="57AE18A5" w:rsidR="00DC6D31" w:rsidRDefault="00DC6D31" w:rsidP="00DC6D31">
      <w:pPr>
        <w:jc w:val="both"/>
        <w:rPr>
          <w:rFonts w:ascii="Calibri" w:hAnsi="Calibri" w:cs="Calibri"/>
          <w:lang w:val="el-GR"/>
        </w:rPr>
      </w:pPr>
      <w:r w:rsidRPr="00DC6D31">
        <w:rPr>
          <w:rFonts w:ascii="Calibri" w:hAnsi="Calibri" w:cs="Calibri"/>
          <w:lang w:val="el-GR"/>
        </w:rPr>
        <w:t xml:space="preserve">Για λόγους προάσπισης της δημόσιας υγείας, θα πρέπει να υπάρχουν προδιαγραφές για τη διενέργεια της ταχείας δοκιμασίας </w:t>
      </w:r>
      <w:r w:rsidR="005452DB">
        <w:rPr>
          <w:rFonts w:ascii="Calibri" w:hAnsi="Calibri" w:cs="Calibri"/>
          <w:lang w:val="el-GR"/>
        </w:rPr>
        <w:t>(</w:t>
      </w:r>
      <w:r w:rsidRPr="00FC665E">
        <w:rPr>
          <w:rFonts w:ascii="Calibri" w:hAnsi="Calibri" w:cs="Calibri"/>
        </w:rPr>
        <w:t>rapid</w:t>
      </w:r>
      <w:r w:rsidRPr="00DC6D31">
        <w:rPr>
          <w:rFonts w:ascii="Calibri" w:hAnsi="Calibri" w:cs="Calibri"/>
          <w:lang w:val="el-GR"/>
        </w:rPr>
        <w:t xml:space="preserve"> </w:t>
      </w:r>
      <w:r w:rsidRPr="00FC665E">
        <w:rPr>
          <w:rFonts w:ascii="Calibri" w:hAnsi="Calibri" w:cs="Calibri"/>
        </w:rPr>
        <w:t>test</w:t>
      </w:r>
      <w:r w:rsidR="005452DB">
        <w:rPr>
          <w:rFonts w:ascii="Calibri" w:hAnsi="Calibri" w:cs="Calibri"/>
          <w:lang w:val="el-GR"/>
        </w:rPr>
        <w:t>)</w:t>
      </w:r>
      <w:r w:rsidRPr="00DC6D31">
        <w:rPr>
          <w:rFonts w:ascii="Calibri" w:hAnsi="Calibri" w:cs="Calibri"/>
          <w:lang w:val="el-GR"/>
        </w:rPr>
        <w:t xml:space="preserve"> βάσει των διεθνών προδιαγραφών σε όλες τις δομές που την αναλαμβάνουν:</w:t>
      </w:r>
    </w:p>
    <w:p w14:paraId="77D429C4" w14:textId="77777777" w:rsidR="00AB67ED" w:rsidRPr="00DC6D31" w:rsidRDefault="00AB67ED" w:rsidP="00DC6D31">
      <w:pPr>
        <w:jc w:val="both"/>
        <w:rPr>
          <w:rFonts w:ascii="Calibri" w:hAnsi="Calibri" w:cs="Calibri"/>
          <w:lang w:val="el-GR"/>
        </w:rPr>
      </w:pPr>
    </w:p>
    <w:p w14:paraId="04E24114" w14:textId="4CF4549F" w:rsidR="00DC6D31" w:rsidRPr="00DC6D31" w:rsidRDefault="00DC6D31" w:rsidP="00DC6D31">
      <w:pPr>
        <w:numPr>
          <w:ilvl w:val="0"/>
          <w:numId w:val="2"/>
        </w:numPr>
        <w:jc w:val="both"/>
        <w:rPr>
          <w:rFonts w:ascii="Calibri" w:hAnsi="Calibri" w:cs="Calibri"/>
          <w:lang w:val="el-GR"/>
        </w:rPr>
      </w:pPr>
      <w:r w:rsidRPr="00DC6D31">
        <w:rPr>
          <w:rFonts w:ascii="Calibri" w:hAnsi="Calibri" w:cs="Calibri"/>
          <w:lang w:val="el-GR"/>
        </w:rPr>
        <w:t>η λήψη ρινοφαρυγγικού επιχρίσματος είναι ιατρική πράξη η οποία μπορεί να εκτελείται από ιατρονοσηλευτικό προσωπικό μετά από κατάλληλη εκπαίδευση</w:t>
      </w:r>
      <w:r w:rsidR="005452DB">
        <w:rPr>
          <w:rFonts w:ascii="Calibri" w:hAnsi="Calibri" w:cs="Calibri"/>
          <w:lang w:val="el-GR"/>
        </w:rPr>
        <w:t>.</w:t>
      </w:r>
    </w:p>
    <w:p w14:paraId="76E73F54" w14:textId="77777777" w:rsidR="00DC6D31" w:rsidRPr="00DC6D31" w:rsidRDefault="00DC6D31" w:rsidP="00DC6D31">
      <w:pPr>
        <w:numPr>
          <w:ilvl w:val="0"/>
          <w:numId w:val="2"/>
        </w:numPr>
        <w:jc w:val="both"/>
        <w:rPr>
          <w:rFonts w:ascii="Calibri" w:hAnsi="Calibri" w:cs="Calibri"/>
          <w:lang w:val="el-GR"/>
        </w:rPr>
      </w:pPr>
      <w:r w:rsidRPr="00DC6D31">
        <w:rPr>
          <w:rFonts w:ascii="Calibri" w:hAnsi="Calibri" w:cs="Calibri"/>
          <w:lang w:val="el-GR"/>
        </w:rPr>
        <w:t>η λήψη πραγματοποιείται σε διακριτό χώρο με κατάλληλες συνθήκες αερισμού και φωτισμού με την τήρηση όλων των μέτρων ασφαλείας – τήρηση αποστάσεων, απολύμανση χεριών κλπ.</w:t>
      </w:r>
    </w:p>
    <w:p w14:paraId="20757A05" w14:textId="77777777" w:rsidR="00DC6D31" w:rsidRPr="00DC6D31" w:rsidRDefault="00DC6D31" w:rsidP="00DC6D31">
      <w:pPr>
        <w:numPr>
          <w:ilvl w:val="0"/>
          <w:numId w:val="2"/>
        </w:numPr>
        <w:jc w:val="both"/>
        <w:rPr>
          <w:rFonts w:ascii="Calibri" w:hAnsi="Calibri" w:cs="Calibri"/>
          <w:lang w:val="el-GR"/>
        </w:rPr>
      </w:pPr>
      <w:r w:rsidRPr="00DC6D31">
        <w:rPr>
          <w:rFonts w:ascii="Calibri" w:hAnsi="Calibri" w:cs="Calibri"/>
          <w:lang w:val="el-GR"/>
        </w:rPr>
        <w:t xml:space="preserve">απαραίτητη είναι η συχνή απολύμανση όλων των αντικειμένων και θέσεων δειγματοληψίας. </w:t>
      </w:r>
    </w:p>
    <w:p w14:paraId="55D6D912" w14:textId="545F3A11" w:rsidR="00DC6D31" w:rsidRPr="00DC6D31" w:rsidRDefault="00DC6D31" w:rsidP="00DC6D31">
      <w:pPr>
        <w:numPr>
          <w:ilvl w:val="0"/>
          <w:numId w:val="2"/>
        </w:numPr>
        <w:jc w:val="both"/>
        <w:rPr>
          <w:rFonts w:ascii="Calibri" w:hAnsi="Calibri" w:cs="Calibri"/>
          <w:lang w:val="el-GR"/>
        </w:rPr>
      </w:pPr>
      <w:r w:rsidRPr="00DC6D31">
        <w:rPr>
          <w:rFonts w:ascii="Calibri" w:hAnsi="Calibri" w:cs="Calibri"/>
          <w:lang w:val="el-GR"/>
        </w:rPr>
        <w:t>απαραίτητη είναι η χρήση των μέτρων ατομικής προστασίας κατά τη δειγματοληψία</w:t>
      </w:r>
      <w:r w:rsidR="005452DB">
        <w:rPr>
          <w:rFonts w:ascii="Calibri" w:hAnsi="Calibri" w:cs="Calibri"/>
          <w:lang w:val="el-GR"/>
        </w:rPr>
        <w:t>.</w:t>
      </w:r>
    </w:p>
    <w:p w14:paraId="2E527DC7" w14:textId="77777777" w:rsidR="00DC6D31" w:rsidRPr="00DC6D31" w:rsidRDefault="00DC6D31" w:rsidP="00DC6D31">
      <w:pPr>
        <w:numPr>
          <w:ilvl w:val="0"/>
          <w:numId w:val="2"/>
        </w:numPr>
        <w:jc w:val="both"/>
        <w:rPr>
          <w:rFonts w:ascii="Calibri" w:hAnsi="Calibri" w:cs="Calibri"/>
          <w:lang w:val="el-GR"/>
        </w:rPr>
      </w:pPr>
      <w:r w:rsidRPr="00DC6D31">
        <w:rPr>
          <w:rFonts w:ascii="Calibri" w:hAnsi="Calibri" w:cs="Calibri"/>
          <w:lang w:val="el-GR"/>
        </w:rPr>
        <w:lastRenderedPageBreak/>
        <w:t xml:space="preserve">τα μολυσματικά απόβλητα πρέπει να απομακρύνονται μέσα από συμβάσεις με εταιρείες πιστοποιημένες στην αποκομιδή μολυσματικών αποβλήτων. </w:t>
      </w:r>
    </w:p>
    <w:p w14:paraId="2DB006E6" w14:textId="77777777" w:rsidR="00DC6D31" w:rsidRPr="00DC6D31" w:rsidRDefault="00DC6D31" w:rsidP="00DC6D31">
      <w:pPr>
        <w:numPr>
          <w:ilvl w:val="0"/>
          <w:numId w:val="2"/>
        </w:numPr>
        <w:jc w:val="both"/>
        <w:rPr>
          <w:rFonts w:ascii="Calibri" w:hAnsi="Calibri" w:cs="Calibri"/>
          <w:lang w:val="el-GR"/>
        </w:rPr>
      </w:pPr>
      <w:r w:rsidRPr="00DC6D31">
        <w:rPr>
          <w:rFonts w:ascii="Calibri" w:hAnsi="Calibri" w:cs="Calibri"/>
          <w:lang w:val="el-GR"/>
        </w:rPr>
        <w:t xml:space="preserve">θα πρέπει να διενεργείται συστηματικός έλεγχος θετικότητας και αξιοπιστίας των πιστοποιημένων δομών δειγματοληψίας. </w:t>
      </w:r>
    </w:p>
    <w:p w14:paraId="55056398" w14:textId="0D2BEE70" w:rsidR="00DC6D31" w:rsidRPr="00DC6D31" w:rsidRDefault="005452DB" w:rsidP="00DC6D31">
      <w:pPr>
        <w:numPr>
          <w:ilvl w:val="0"/>
          <w:numId w:val="2"/>
        </w:num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α</w:t>
      </w:r>
      <w:r w:rsidR="00DC6D31" w:rsidRPr="00DC6D31">
        <w:rPr>
          <w:rFonts w:ascii="Calibri" w:hAnsi="Calibri" w:cs="Calibri"/>
          <w:lang w:val="el-GR"/>
        </w:rPr>
        <w:t xml:space="preserve">παγορεύεται ρητά να δημιουργούνται χώροι διενέργειας </w:t>
      </w:r>
      <w:r w:rsidR="00DC6D31">
        <w:rPr>
          <w:rFonts w:ascii="Calibri" w:hAnsi="Calibri" w:cs="Calibri"/>
        </w:rPr>
        <w:t>rapid</w:t>
      </w:r>
      <w:r w:rsidR="00DC6D31" w:rsidRPr="00DC6D31">
        <w:rPr>
          <w:rFonts w:ascii="Calibri" w:hAnsi="Calibri" w:cs="Calibri"/>
          <w:lang w:val="el-GR"/>
        </w:rPr>
        <w:t xml:space="preserve"> </w:t>
      </w:r>
      <w:r w:rsidR="00DC6D31">
        <w:rPr>
          <w:rFonts w:ascii="Calibri" w:hAnsi="Calibri" w:cs="Calibri"/>
        </w:rPr>
        <w:t>test</w:t>
      </w:r>
      <w:r w:rsidR="00DC6D31" w:rsidRPr="00DC6D31">
        <w:rPr>
          <w:rFonts w:ascii="Calibri" w:hAnsi="Calibri" w:cs="Calibri"/>
          <w:lang w:val="el-GR"/>
        </w:rPr>
        <w:t xml:space="preserve"> εκτός υγειονομικών δομών και χωρίς αντίστοιχη αδειοδότηση ιατρείου. Κλιμάκια δειγματοληψίας επιτρέπονται εφόσον διασυνδεθούν με επιστημονικά υπεύθυνο κλινικό ή εργαστηριακό ιατρό και λειτουργικό αδειοδοτημένο ιατρείο ή διαγνωστικό εργαστήριο.</w:t>
      </w:r>
    </w:p>
    <w:p w14:paraId="4ACAA758" w14:textId="2D0A5589" w:rsidR="00DC6D31" w:rsidRPr="00DC6D31" w:rsidRDefault="005452DB" w:rsidP="00DC6D31">
      <w:pPr>
        <w:numPr>
          <w:ilvl w:val="0"/>
          <w:numId w:val="2"/>
        </w:num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</w:t>
      </w:r>
      <w:r w:rsidR="00DC6D31" w:rsidRPr="00DC6D31">
        <w:rPr>
          <w:rFonts w:ascii="Calibri" w:hAnsi="Calibri" w:cs="Calibri"/>
          <w:lang w:val="el-GR"/>
        </w:rPr>
        <w:t xml:space="preserve">α κιτ ταχείας ανίχνευσης αντιγόνου κατά του ιού </w:t>
      </w:r>
      <w:r w:rsidR="00DC6D31">
        <w:rPr>
          <w:rFonts w:ascii="Calibri" w:hAnsi="Calibri" w:cs="Calibri"/>
        </w:rPr>
        <w:t>SARS</w:t>
      </w:r>
      <w:r w:rsidR="00DC6D31" w:rsidRPr="00DC6D31">
        <w:rPr>
          <w:rFonts w:ascii="Calibri" w:hAnsi="Calibri" w:cs="Calibri"/>
          <w:lang w:val="el-GR"/>
        </w:rPr>
        <w:t>-</w:t>
      </w:r>
      <w:r w:rsidR="00DC6D31">
        <w:rPr>
          <w:rFonts w:ascii="Calibri" w:hAnsi="Calibri" w:cs="Calibri"/>
        </w:rPr>
        <w:t>COV</w:t>
      </w:r>
      <w:r w:rsidR="00DC6D31" w:rsidRPr="00DC6D31">
        <w:rPr>
          <w:rFonts w:ascii="Calibri" w:hAnsi="Calibri" w:cs="Calibri"/>
          <w:lang w:val="el-GR"/>
        </w:rPr>
        <w:t>-2 οφείλουν να έχουν όλες τις θεσπισμένες προδιαγραφές από τ</w:t>
      </w:r>
      <w:r w:rsidR="004B7D8D">
        <w:rPr>
          <w:rFonts w:ascii="Calibri" w:hAnsi="Calibri" w:cs="Calibri"/>
        </w:rPr>
        <w:t>o</w:t>
      </w:r>
      <w:r w:rsidR="00DC6D31" w:rsidRPr="00DC6D31">
        <w:rPr>
          <w:rFonts w:ascii="Calibri" w:hAnsi="Calibri" w:cs="Calibri"/>
          <w:lang w:val="el-GR"/>
        </w:rPr>
        <w:t>ν Π</w:t>
      </w:r>
      <w:r w:rsidR="004B7D8D" w:rsidRPr="004B7D8D">
        <w:rPr>
          <w:rFonts w:ascii="Calibri" w:hAnsi="Calibri" w:cs="Calibri"/>
          <w:lang w:val="el-GR"/>
        </w:rPr>
        <w:t>.</w:t>
      </w:r>
      <w:r w:rsidR="00DC6D31" w:rsidRPr="00DC6D31">
        <w:rPr>
          <w:rFonts w:ascii="Calibri" w:hAnsi="Calibri" w:cs="Calibri"/>
          <w:lang w:val="el-GR"/>
        </w:rPr>
        <w:t>Ο</w:t>
      </w:r>
      <w:r w:rsidR="004B7D8D" w:rsidRPr="004B7D8D">
        <w:rPr>
          <w:rFonts w:ascii="Calibri" w:hAnsi="Calibri" w:cs="Calibri"/>
          <w:lang w:val="el-GR"/>
        </w:rPr>
        <w:t>.</w:t>
      </w:r>
      <w:r w:rsidR="00DC6D31" w:rsidRPr="00DC6D31">
        <w:rPr>
          <w:rFonts w:ascii="Calibri" w:hAnsi="Calibri" w:cs="Calibri"/>
          <w:lang w:val="el-GR"/>
        </w:rPr>
        <w:t xml:space="preserve">Υ.  </w:t>
      </w:r>
    </w:p>
    <w:p w14:paraId="30F43A32" w14:textId="77777777" w:rsidR="00DC6D31" w:rsidRPr="009C730A" w:rsidRDefault="00DC6D31" w:rsidP="009C730A">
      <w:pPr>
        <w:spacing w:after="120"/>
        <w:rPr>
          <w:rFonts w:asciiTheme="minorHAnsi" w:hAnsiTheme="minorHAnsi" w:cstheme="minorHAnsi"/>
          <w:sz w:val="22"/>
          <w:szCs w:val="22"/>
          <w:lang w:val="el-GR"/>
        </w:rPr>
      </w:pPr>
    </w:p>
    <w:p w14:paraId="7F833E85" w14:textId="7DBDD292" w:rsidR="00DC6D31" w:rsidRPr="00E82A30" w:rsidRDefault="00151F9C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 xml:space="preserve">Το πλαίσιο διενέργειας </w:t>
      </w:r>
      <w:r w:rsidRPr="00E82A30">
        <w:rPr>
          <w:rFonts w:asciiTheme="minorHAnsi" w:hAnsiTheme="minorHAnsi" w:cstheme="minorHAnsi"/>
        </w:rPr>
        <w:t>rapid</w:t>
      </w:r>
      <w:r w:rsidRPr="00E82A30">
        <w:rPr>
          <w:rFonts w:asciiTheme="minorHAnsi" w:hAnsiTheme="minorHAnsi" w:cstheme="minorHAnsi"/>
          <w:lang w:val="el-GR"/>
        </w:rPr>
        <w:t xml:space="preserve"> </w:t>
      </w:r>
      <w:r w:rsidRPr="00E82A30">
        <w:rPr>
          <w:rFonts w:asciiTheme="minorHAnsi" w:hAnsiTheme="minorHAnsi" w:cstheme="minorHAnsi"/>
        </w:rPr>
        <w:t>test</w:t>
      </w:r>
      <w:r w:rsidRPr="00E82A30">
        <w:rPr>
          <w:rFonts w:asciiTheme="minorHAnsi" w:hAnsiTheme="minorHAnsi" w:cstheme="minorHAnsi"/>
          <w:lang w:val="el-GR"/>
        </w:rPr>
        <w:t xml:space="preserve"> χωρίς τις αναφερόμενες προδιαγραφές έχει δημιουργήσει χάος ως προς την αξιοπιστία του αποτελέσματος λόγω ποικιλομορφίας των αναλωσίμων</w:t>
      </w:r>
      <w:r w:rsidR="00E82A30" w:rsidRPr="00E82A30">
        <w:rPr>
          <w:rFonts w:asciiTheme="minorHAnsi" w:hAnsiTheme="minorHAnsi" w:cstheme="minorHAnsi"/>
          <w:lang w:val="el-GR"/>
        </w:rPr>
        <w:t xml:space="preserve"> υλικών</w:t>
      </w:r>
      <w:r w:rsidRPr="00E82A30">
        <w:rPr>
          <w:rFonts w:asciiTheme="minorHAnsi" w:hAnsiTheme="minorHAnsi" w:cstheme="minorHAnsi"/>
          <w:lang w:val="el-GR"/>
        </w:rPr>
        <w:t xml:space="preserve">, του ληφθέντος </w:t>
      </w:r>
      <w:r w:rsidR="00E82A30" w:rsidRPr="00E82A30">
        <w:rPr>
          <w:rFonts w:asciiTheme="minorHAnsi" w:hAnsiTheme="minorHAnsi" w:cstheme="minorHAnsi"/>
          <w:lang w:val="el-GR"/>
        </w:rPr>
        <w:t>δείγματος</w:t>
      </w:r>
      <w:r w:rsidRPr="00E82A30">
        <w:rPr>
          <w:rFonts w:asciiTheme="minorHAnsi" w:hAnsiTheme="minorHAnsi" w:cstheme="minorHAnsi"/>
          <w:lang w:val="el-GR"/>
        </w:rPr>
        <w:t xml:space="preserve"> (</w:t>
      </w:r>
      <w:r w:rsidR="00E82A30" w:rsidRPr="00E82A30">
        <w:rPr>
          <w:rFonts w:asciiTheme="minorHAnsi" w:hAnsiTheme="minorHAnsi" w:cstheme="minorHAnsi"/>
          <w:lang w:val="el-GR"/>
        </w:rPr>
        <w:t xml:space="preserve">πχ σάλιο, ρινικό επίχρισμα κλπ), </w:t>
      </w:r>
      <w:r w:rsidR="00E82A30">
        <w:rPr>
          <w:rFonts w:asciiTheme="minorHAnsi" w:hAnsiTheme="minorHAnsi" w:cstheme="minorHAnsi"/>
          <w:lang w:val="el-GR"/>
        </w:rPr>
        <w:t xml:space="preserve">της έλλειψης ορθής τεχνικής δειγματοληψίας, </w:t>
      </w:r>
      <w:r w:rsidR="00E82A30" w:rsidRPr="00E82A30">
        <w:rPr>
          <w:rFonts w:asciiTheme="minorHAnsi" w:hAnsiTheme="minorHAnsi" w:cstheme="minorHAnsi"/>
          <w:lang w:val="el-GR"/>
        </w:rPr>
        <w:t xml:space="preserve">την έλλειψη </w:t>
      </w:r>
      <w:r w:rsidR="00E82A30">
        <w:rPr>
          <w:rFonts w:asciiTheme="minorHAnsi" w:hAnsiTheme="minorHAnsi" w:cstheme="minorHAnsi"/>
          <w:lang w:val="el-GR"/>
        </w:rPr>
        <w:t>ιατρικής εποπτείας</w:t>
      </w:r>
      <w:r w:rsidR="00E82A30" w:rsidRPr="00E82A30">
        <w:rPr>
          <w:rFonts w:asciiTheme="minorHAnsi" w:hAnsiTheme="minorHAnsi" w:cstheme="minorHAnsi"/>
          <w:lang w:val="el-GR"/>
        </w:rPr>
        <w:t xml:space="preserve"> και </w:t>
      </w:r>
      <w:r w:rsidR="00E82A30">
        <w:rPr>
          <w:rFonts w:asciiTheme="minorHAnsi" w:hAnsiTheme="minorHAnsi" w:cstheme="minorHAnsi"/>
          <w:lang w:val="el-GR"/>
        </w:rPr>
        <w:t xml:space="preserve">τις συνθήκες </w:t>
      </w:r>
      <w:r w:rsidR="00E82A30" w:rsidRPr="00E82A30">
        <w:rPr>
          <w:rFonts w:asciiTheme="minorHAnsi" w:hAnsiTheme="minorHAnsi" w:cstheme="minorHAnsi"/>
          <w:lang w:val="el-GR"/>
        </w:rPr>
        <w:t>αντιποίηση</w:t>
      </w:r>
      <w:r w:rsidR="00E82A30">
        <w:rPr>
          <w:rFonts w:asciiTheme="minorHAnsi" w:hAnsiTheme="minorHAnsi" w:cstheme="minorHAnsi"/>
          <w:lang w:val="el-GR"/>
        </w:rPr>
        <w:t>ς</w:t>
      </w:r>
      <w:r w:rsidR="00E82A30" w:rsidRPr="00E82A30">
        <w:rPr>
          <w:rFonts w:asciiTheme="minorHAnsi" w:hAnsiTheme="minorHAnsi" w:cstheme="minorHAnsi"/>
          <w:lang w:val="el-GR"/>
        </w:rPr>
        <w:t xml:space="preserve"> του ιατρικού επαγγέλματος, </w:t>
      </w:r>
      <w:r w:rsidR="00E82A30">
        <w:rPr>
          <w:rFonts w:asciiTheme="minorHAnsi" w:hAnsiTheme="minorHAnsi" w:cstheme="minorHAnsi"/>
          <w:lang w:val="el-GR"/>
        </w:rPr>
        <w:t>γεγονός που ναρκοθετεί</w:t>
      </w:r>
      <w:r w:rsidRPr="00E82A30">
        <w:rPr>
          <w:rFonts w:asciiTheme="minorHAnsi" w:hAnsiTheme="minorHAnsi" w:cstheme="minorHAnsi"/>
          <w:lang w:val="el-GR"/>
        </w:rPr>
        <w:t xml:space="preserve"> την επιδημιολογική επιτήρηση της πανδημίας </w:t>
      </w:r>
      <w:r w:rsidRPr="00E82A30">
        <w:rPr>
          <w:rFonts w:asciiTheme="minorHAnsi" w:hAnsiTheme="minorHAnsi" w:cstheme="minorHAnsi"/>
        </w:rPr>
        <w:t>COVID</w:t>
      </w:r>
      <w:r w:rsidRPr="00E82A30">
        <w:rPr>
          <w:rFonts w:asciiTheme="minorHAnsi" w:hAnsiTheme="minorHAnsi" w:cstheme="minorHAnsi"/>
          <w:lang w:val="el-GR"/>
        </w:rPr>
        <w:t xml:space="preserve">-19. </w:t>
      </w:r>
    </w:p>
    <w:p w14:paraId="2C1940F9" w14:textId="754E556D" w:rsidR="005160D7" w:rsidRPr="00E82A30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>Από  όλο τον ιατρικό κόσμο διατυπώνεται η απαίτηση για πλήρη και άμεση κατάργ</w:t>
      </w:r>
      <w:r w:rsidR="00DC6D31" w:rsidRPr="00E82A30">
        <w:rPr>
          <w:rFonts w:asciiTheme="minorHAnsi" w:hAnsiTheme="minorHAnsi" w:cstheme="minorHAnsi"/>
          <w:lang w:val="el-GR"/>
        </w:rPr>
        <w:t>η</w:t>
      </w:r>
      <w:r w:rsidRPr="00E82A30">
        <w:rPr>
          <w:rFonts w:asciiTheme="minorHAnsi" w:hAnsiTheme="minorHAnsi" w:cstheme="minorHAnsi"/>
          <w:lang w:val="el-GR"/>
        </w:rPr>
        <w:t xml:space="preserve">ση του </w:t>
      </w:r>
      <w:r w:rsidR="00DC6D31" w:rsidRPr="00E82A30">
        <w:rPr>
          <w:rFonts w:asciiTheme="minorHAnsi" w:hAnsiTheme="minorHAnsi" w:cstheme="minorHAnsi"/>
        </w:rPr>
        <w:t>clawback</w:t>
      </w:r>
      <w:r w:rsidRPr="00E82A30">
        <w:rPr>
          <w:rFonts w:asciiTheme="minorHAnsi" w:hAnsiTheme="minorHAnsi" w:cstheme="minorHAnsi"/>
          <w:lang w:val="el-GR"/>
        </w:rPr>
        <w:t>, τόσο για πρακτικούς λόγους, όσο και κυρίως για λόγους αρχής</w:t>
      </w:r>
      <w:r w:rsidR="00DC6D31" w:rsidRPr="00E82A30">
        <w:rPr>
          <w:rFonts w:asciiTheme="minorHAnsi" w:hAnsiTheme="minorHAnsi" w:cstheme="minorHAnsi"/>
          <w:lang w:val="el-GR"/>
        </w:rPr>
        <w:t>.</w:t>
      </w:r>
    </w:p>
    <w:p w14:paraId="79FD2F8B" w14:textId="77777777" w:rsidR="00DC6D31" w:rsidRPr="00E82A30" w:rsidRDefault="00DC6D31" w:rsidP="009C730A">
      <w:pPr>
        <w:spacing w:after="120"/>
        <w:rPr>
          <w:rFonts w:asciiTheme="minorHAnsi" w:hAnsiTheme="minorHAnsi" w:cstheme="minorHAnsi"/>
          <w:lang w:val="el-GR"/>
        </w:rPr>
      </w:pPr>
    </w:p>
    <w:p w14:paraId="12959452" w14:textId="21534E39" w:rsidR="00DC6D31" w:rsidRPr="00E82A30" w:rsidRDefault="005160D7" w:rsidP="009C730A">
      <w:pPr>
        <w:spacing w:after="120"/>
        <w:rPr>
          <w:rFonts w:asciiTheme="minorHAnsi" w:hAnsiTheme="minorHAnsi" w:cstheme="minorHAnsi"/>
          <w:lang w:val="el-GR"/>
        </w:rPr>
      </w:pPr>
      <w:r w:rsidRPr="00E82A30">
        <w:rPr>
          <w:rFonts w:asciiTheme="minorHAnsi" w:hAnsiTheme="minorHAnsi" w:cstheme="minorHAnsi"/>
          <w:lang w:val="el-GR"/>
        </w:rPr>
        <w:t>Αναμένοντας τη θετική σας απάντηση</w:t>
      </w:r>
      <w:r w:rsidR="00DC6D31" w:rsidRPr="00E82A30">
        <w:rPr>
          <w:rFonts w:asciiTheme="minorHAnsi" w:hAnsiTheme="minorHAnsi" w:cstheme="minorHAnsi"/>
          <w:lang w:val="el-GR"/>
        </w:rPr>
        <w:t xml:space="preserve">, </w:t>
      </w:r>
    </w:p>
    <w:p w14:paraId="4FB51582" w14:textId="7ED25419" w:rsidR="004473B0" w:rsidRPr="00E82A30" w:rsidRDefault="00DC6D31" w:rsidP="005160D7">
      <w:pPr>
        <w:rPr>
          <w:rFonts w:asciiTheme="minorHAnsi" w:hAnsiTheme="minorHAnsi" w:cstheme="minorHAnsi"/>
          <w:lang w:val="el-GR"/>
        </w:rPr>
      </w:pPr>
      <w:r w:rsidRPr="00E82A30">
        <w:rPr>
          <w:noProof/>
          <w:lang w:val="el-GR" w:eastAsia="el-GR"/>
        </w:rPr>
        <w:drawing>
          <wp:inline distT="0" distB="0" distL="0" distR="0" wp14:anchorId="65F14442" wp14:editId="73D47782">
            <wp:extent cx="5601820" cy="1933575"/>
            <wp:effectExtent l="0" t="0" r="0" b="0"/>
            <wp:docPr id="4" name="Εικόνα 4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99" cy="193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3B0" w:rsidRPr="00E82A30" w:rsidSect="005160D7">
      <w:headerReference w:type="default" r:id="rId8"/>
      <w:footerReference w:type="default" r:id="rId9"/>
      <w:pgSz w:w="12240" w:h="15840"/>
      <w:pgMar w:top="199" w:right="1041" w:bottom="1078" w:left="1701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2D97" w14:textId="77777777" w:rsidR="00C821BF" w:rsidRDefault="00C821BF">
      <w:r>
        <w:separator/>
      </w:r>
    </w:p>
  </w:endnote>
  <w:endnote w:type="continuationSeparator" w:id="0">
    <w:p w14:paraId="056134EA" w14:textId="77777777" w:rsidR="00C821BF" w:rsidRDefault="00C8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BD28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B6D7B81" wp14:editId="622800EB">
          <wp:extent cx="4850130" cy="860487"/>
          <wp:effectExtent l="19050" t="0" r="7620" b="0"/>
          <wp:docPr id="2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55EE" w14:textId="77777777" w:rsidR="00C821BF" w:rsidRDefault="00C821BF">
      <w:r>
        <w:separator/>
      </w:r>
    </w:p>
  </w:footnote>
  <w:footnote w:type="continuationSeparator" w:id="0">
    <w:p w14:paraId="0345D9F4" w14:textId="77777777" w:rsidR="00C821BF" w:rsidRDefault="00C8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3DEC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1FAB93C3" wp14:editId="0DE5FC61">
          <wp:extent cx="5081796" cy="1920240"/>
          <wp:effectExtent l="0" t="0" r="5080" b="381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1796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E3F34"/>
    <w:multiLevelType w:val="hybridMultilevel"/>
    <w:tmpl w:val="BA829F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771EA"/>
    <w:multiLevelType w:val="hybridMultilevel"/>
    <w:tmpl w:val="E2FC7B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25"/>
    <w:rsid w:val="00000B06"/>
    <w:rsid w:val="00013F75"/>
    <w:rsid w:val="00022505"/>
    <w:rsid w:val="000310F4"/>
    <w:rsid w:val="00040064"/>
    <w:rsid w:val="000644E3"/>
    <w:rsid w:val="0008698D"/>
    <w:rsid w:val="00093A93"/>
    <w:rsid w:val="0009642B"/>
    <w:rsid w:val="000A3871"/>
    <w:rsid w:val="000A3F7C"/>
    <w:rsid w:val="000B580F"/>
    <w:rsid w:val="000B630F"/>
    <w:rsid w:val="000B66AB"/>
    <w:rsid w:val="00123FD0"/>
    <w:rsid w:val="00143861"/>
    <w:rsid w:val="00151F9C"/>
    <w:rsid w:val="001551D2"/>
    <w:rsid w:val="00171C6F"/>
    <w:rsid w:val="00182E81"/>
    <w:rsid w:val="00184C6C"/>
    <w:rsid w:val="001950F4"/>
    <w:rsid w:val="001A79AE"/>
    <w:rsid w:val="001E4784"/>
    <w:rsid w:val="001F71AA"/>
    <w:rsid w:val="0020279A"/>
    <w:rsid w:val="00224575"/>
    <w:rsid w:val="0023423B"/>
    <w:rsid w:val="002570BD"/>
    <w:rsid w:val="00260322"/>
    <w:rsid w:val="002B7A81"/>
    <w:rsid w:val="002C190E"/>
    <w:rsid w:val="002F21C9"/>
    <w:rsid w:val="002F393F"/>
    <w:rsid w:val="00372742"/>
    <w:rsid w:val="00376821"/>
    <w:rsid w:val="00390CE3"/>
    <w:rsid w:val="003B0D23"/>
    <w:rsid w:val="003C3257"/>
    <w:rsid w:val="003C7E66"/>
    <w:rsid w:val="003D188B"/>
    <w:rsid w:val="003D7131"/>
    <w:rsid w:val="003F30D2"/>
    <w:rsid w:val="003F6638"/>
    <w:rsid w:val="003F69FF"/>
    <w:rsid w:val="003F6DDB"/>
    <w:rsid w:val="00402EBD"/>
    <w:rsid w:val="004345C4"/>
    <w:rsid w:val="004346EC"/>
    <w:rsid w:val="0044526D"/>
    <w:rsid w:val="00445C2B"/>
    <w:rsid w:val="004473B0"/>
    <w:rsid w:val="00471BC1"/>
    <w:rsid w:val="00472725"/>
    <w:rsid w:val="004774C3"/>
    <w:rsid w:val="004B7D8D"/>
    <w:rsid w:val="004C213D"/>
    <w:rsid w:val="004C5B2D"/>
    <w:rsid w:val="004D23AC"/>
    <w:rsid w:val="004E1529"/>
    <w:rsid w:val="004E353E"/>
    <w:rsid w:val="00507C25"/>
    <w:rsid w:val="005160D7"/>
    <w:rsid w:val="005452DB"/>
    <w:rsid w:val="00567348"/>
    <w:rsid w:val="00575B8D"/>
    <w:rsid w:val="00585FD0"/>
    <w:rsid w:val="005A3D33"/>
    <w:rsid w:val="005A4D11"/>
    <w:rsid w:val="005D6DBD"/>
    <w:rsid w:val="00611148"/>
    <w:rsid w:val="00617558"/>
    <w:rsid w:val="00621787"/>
    <w:rsid w:val="00670046"/>
    <w:rsid w:val="00670685"/>
    <w:rsid w:val="00691465"/>
    <w:rsid w:val="006C26C4"/>
    <w:rsid w:val="006D2190"/>
    <w:rsid w:val="006E6C11"/>
    <w:rsid w:val="007217EA"/>
    <w:rsid w:val="007243BC"/>
    <w:rsid w:val="00763ECF"/>
    <w:rsid w:val="00765313"/>
    <w:rsid w:val="007843AD"/>
    <w:rsid w:val="007848B3"/>
    <w:rsid w:val="00787DD6"/>
    <w:rsid w:val="00790473"/>
    <w:rsid w:val="00794E74"/>
    <w:rsid w:val="007B329F"/>
    <w:rsid w:val="007D62B0"/>
    <w:rsid w:val="007E69A7"/>
    <w:rsid w:val="007E7476"/>
    <w:rsid w:val="007E77BC"/>
    <w:rsid w:val="00802E6E"/>
    <w:rsid w:val="00856B3D"/>
    <w:rsid w:val="00867293"/>
    <w:rsid w:val="00867BF4"/>
    <w:rsid w:val="00887E91"/>
    <w:rsid w:val="00892718"/>
    <w:rsid w:val="008978A8"/>
    <w:rsid w:val="008B5B69"/>
    <w:rsid w:val="008C227E"/>
    <w:rsid w:val="008D752D"/>
    <w:rsid w:val="008E414A"/>
    <w:rsid w:val="008F4A3A"/>
    <w:rsid w:val="00913FB2"/>
    <w:rsid w:val="009222E8"/>
    <w:rsid w:val="00936B36"/>
    <w:rsid w:val="009573F1"/>
    <w:rsid w:val="00971AF7"/>
    <w:rsid w:val="00984DFA"/>
    <w:rsid w:val="009B34E9"/>
    <w:rsid w:val="009C2741"/>
    <w:rsid w:val="009C730A"/>
    <w:rsid w:val="009D75AB"/>
    <w:rsid w:val="009E3AE0"/>
    <w:rsid w:val="009F4180"/>
    <w:rsid w:val="00A00A45"/>
    <w:rsid w:val="00A254E1"/>
    <w:rsid w:val="00A45F9C"/>
    <w:rsid w:val="00A5592F"/>
    <w:rsid w:val="00A62A7B"/>
    <w:rsid w:val="00A8644A"/>
    <w:rsid w:val="00AB4D87"/>
    <w:rsid w:val="00AB67ED"/>
    <w:rsid w:val="00AE01A9"/>
    <w:rsid w:val="00AF2745"/>
    <w:rsid w:val="00B2557C"/>
    <w:rsid w:val="00B44EB2"/>
    <w:rsid w:val="00B61079"/>
    <w:rsid w:val="00B71746"/>
    <w:rsid w:val="00B838A9"/>
    <w:rsid w:val="00B84899"/>
    <w:rsid w:val="00BA4CEE"/>
    <w:rsid w:val="00BC257C"/>
    <w:rsid w:val="00BD3A51"/>
    <w:rsid w:val="00BD67A0"/>
    <w:rsid w:val="00C127DF"/>
    <w:rsid w:val="00C36EA3"/>
    <w:rsid w:val="00C40F8A"/>
    <w:rsid w:val="00C57261"/>
    <w:rsid w:val="00C578FF"/>
    <w:rsid w:val="00C62F49"/>
    <w:rsid w:val="00C65C38"/>
    <w:rsid w:val="00C821BF"/>
    <w:rsid w:val="00CA5DA8"/>
    <w:rsid w:val="00CD1DAC"/>
    <w:rsid w:val="00CD55CF"/>
    <w:rsid w:val="00CE74C9"/>
    <w:rsid w:val="00CF3092"/>
    <w:rsid w:val="00CF5549"/>
    <w:rsid w:val="00D12BE7"/>
    <w:rsid w:val="00D177B4"/>
    <w:rsid w:val="00D429B2"/>
    <w:rsid w:val="00D56917"/>
    <w:rsid w:val="00D76DA4"/>
    <w:rsid w:val="00D819DB"/>
    <w:rsid w:val="00D86444"/>
    <w:rsid w:val="00DB0104"/>
    <w:rsid w:val="00DC6C62"/>
    <w:rsid w:val="00DC6D31"/>
    <w:rsid w:val="00DF2511"/>
    <w:rsid w:val="00E14DBA"/>
    <w:rsid w:val="00E227EC"/>
    <w:rsid w:val="00E40B9A"/>
    <w:rsid w:val="00E72C2A"/>
    <w:rsid w:val="00E76F94"/>
    <w:rsid w:val="00E82A30"/>
    <w:rsid w:val="00E93085"/>
    <w:rsid w:val="00EA36EB"/>
    <w:rsid w:val="00EC4A16"/>
    <w:rsid w:val="00EE0582"/>
    <w:rsid w:val="00F05AD4"/>
    <w:rsid w:val="00F11C51"/>
    <w:rsid w:val="00F23B77"/>
    <w:rsid w:val="00F25B2A"/>
    <w:rsid w:val="00F32802"/>
    <w:rsid w:val="00F42684"/>
    <w:rsid w:val="00F54908"/>
    <w:rsid w:val="00F63CC4"/>
    <w:rsid w:val="00F663BE"/>
    <w:rsid w:val="00F73B78"/>
    <w:rsid w:val="00F87A31"/>
    <w:rsid w:val="00F87B1E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864CBAF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892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Anna Moschona</cp:lastModifiedBy>
  <cp:revision>5</cp:revision>
  <cp:lastPrinted>2012-02-21T10:26:00Z</cp:lastPrinted>
  <dcterms:created xsi:type="dcterms:W3CDTF">2021-10-06T10:49:00Z</dcterms:created>
  <dcterms:modified xsi:type="dcterms:W3CDTF">2021-10-07T07:05:00Z</dcterms:modified>
</cp:coreProperties>
</file>